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9209C">
      <w:pPr>
        <w:bidi w:val="0"/>
        <w:jc w:val="center"/>
        <w:rPr>
          <w:rFonts w:hint="eastAsia" w:ascii="黑体" w:hAnsi="黑体" w:eastAsia="黑体" w:cs="黑体"/>
          <w:sz w:val="44"/>
          <w:szCs w:val="52"/>
        </w:rPr>
      </w:pPr>
    </w:p>
    <w:p w14:paraId="33D508A3">
      <w:pPr>
        <w:bidi w:val="0"/>
        <w:jc w:val="center"/>
        <w:rPr>
          <w:rFonts w:hint="eastAsia" w:ascii="黑体" w:hAnsi="黑体" w:eastAsia="黑体" w:cs="黑体"/>
          <w:sz w:val="44"/>
          <w:szCs w:val="52"/>
        </w:rPr>
      </w:pPr>
      <w:r>
        <w:rPr>
          <w:rFonts w:hint="eastAsia" w:ascii="黑体" w:hAnsi="黑体" w:eastAsia="黑体" w:cs="黑体"/>
          <w:sz w:val="44"/>
          <w:szCs w:val="52"/>
        </w:rPr>
        <w:t>《饮用水水源地蓝藻水华应急防控技术指南》</w:t>
      </w:r>
    </w:p>
    <w:p w14:paraId="55095881">
      <w:pPr>
        <w:bidi w:val="0"/>
        <w:jc w:val="center"/>
        <w:rPr>
          <w:rFonts w:hint="eastAsia" w:ascii="黑体" w:hAnsi="黑体" w:eastAsia="黑体" w:cs="黑体"/>
          <w:sz w:val="44"/>
          <w:szCs w:val="52"/>
        </w:rPr>
      </w:pPr>
    </w:p>
    <w:p w14:paraId="2303B72B">
      <w:pPr>
        <w:bidi w:val="0"/>
        <w:jc w:val="center"/>
        <w:rPr>
          <w:rFonts w:hint="eastAsia" w:ascii="黑体" w:hAnsi="黑体" w:eastAsia="黑体" w:cs="黑体"/>
          <w:sz w:val="44"/>
          <w:szCs w:val="52"/>
          <w:lang w:val="en-US" w:eastAsia="zh-CN"/>
        </w:rPr>
      </w:pPr>
      <w:r>
        <w:rPr>
          <w:rFonts w:hint="eastAsia" w:ascii="黑体" w:hAnsi="黑体" w:eastAsia="黑体" w:cs="黑体"/>
          <w:sz w:val="44"/>
          <w:szCs w:val="52"/>
        </w:rPr>
        <w:t>编制说明</w:t>
      </w:r>
    </w:p>
    <w:p w14:paraId="3B1A8605">
      <w:pPr>
        <w:pStyle w:val="16"/>
        <w:rPr>
          <w:rStyle w:val="17"/>
          <w:rFonts w:hint="default" w:ascii="Times New Roman" w:hAnsi="Times New Roman" w:eastAsia="黑体" w:cs="Times New Roman"/>
          <w:sz w:val="36"/>
          <w:szCs w:val="36"/>
          <w:lang w:val="en-US" w:eastAsia="zh-CN"/>
        </w:rPr>
      </w:pPr>
    </w:p>
    <w:p w14:paraId="5188BB46">
      <w:pPr>
        <w:pStyle w:val="16"/>
        <w:rPr>
          <w:rStyle w:val="17"/>
          <w:rFonts w:hint="default" w:ascii="Times New Roman" w:hAnsi="Times New Roman" w:eastAsia="黑体" w:cs="Times New Roman"/>
          <w:sz w:val="36"/>
          <w:szCs w:val="36"/>
          <w:lang w:val="en-US" w:eastAsia="zh-CN"/>
        </w:rPr>
      </w:pPr>
    </w:p>
    <w:p w14:paraId="7DDB284F">
      <w:pPr>
        <w:pStyle w:val="16"/>
        <w:rPr>
          <w:rStyle w:val="17"/>
          <w:rFonts w:hint="default" w:ascii="Times New Roman" w:hAnsi="Times New Roman" w:eastAsia="黑体" w:cs="Times New Roman"/>
          <w:sz w:val="36"/>
          <w:szCs w:val="36"/>
          <w:lang w:val="en-US" w:eastAsia="zh-CN"/>
        </w:rPr>
      </w:pPr>
    </w:p>
    <w:p w14:paraId="64020D78">
      <w:pPr>
        <w:pStyle w:val="16"/>
        <w:rPr>
          <w:rStyle w:val="17"/>
          <w:rFonts w:hint="default" w:ascii="Times New Roman" w:hAnsi="Times New Roman" w:eastAsia="黑体" w:cs="Times New Roman"/>
          <w:sz w:val="36"/>
          <w:szCs w:val="36"/>
          <w:lang w:val="en-US" w:eastAsia="zh-CN"/>
        </w:rPr>
      </w:pPr>
    </w:p>
    <w:p w14:paraId="48812975">
      <w:pPr>
        <w:pStyle w:val="16"/>
        <w:rPr>
          <w:rStyle w:val="17"/>
          <w:rFonts w:hint="default" w:ascii="Times New Roman" w:hAnsi="Times New Roman" w:eastAsia="黑体" w:cs="Times New Roman"/>
          <w:sz w:val="36"/>
          <w:szCs w:val="36"/>
          <w:lang w:val="en-US" w:eastAsia="zh-CN"/>
        </w:rPr>
      </w:pPr>
    </w:p>
    <w:p w14:paraId="083E258A">
      <w:pPr>
        <w:pStyle w:val="16"/>
        <w:rPr>
          <w:rStyle w:val="17"/>
          <w:rFonts w:hint="default" w:ascii="Times New Roman" w:hAnsi="Times New Roman" w:eastAsia="黑体" w:cs="Times New Roman"/>
          <w:sz w:val="36"/>
          <w:szCs w:val="36"/>
          <w:lang w:val="en-US" w:eastAsia="zh-CN"/>
        </w:rPr>
      </w:pPr>
    </w:p>
    <w:p w14:paraId="3D5AB0AE">
      <w:pPr>
        <w:pStyle w:val="16"/>
        <w:rPr>
          <w:rStyle w:val="17"/>
          <w:rFonts w:hint="default" w:ascii="Times New Roman" w:hAnsi="Times New Roman" w:eastAsia="黑体" w:cs="Times New Roman"/>
          <w:sz w:val="36"/>
          <w:szCs w:val="36"/>
          <w:lang w:val="en-US" w:eastAsia="zh-CN"/>
        </w:rPr>
      </w:pPr>
    </w:p>
    <w:p w14:paraId="0636FAAA">
      <w:pPr>
        <w:pStyle w:val="16"/>
        <w:rPr>
          <w:rStyle w:val="17"/>
          <w:rFonts w:hint="default" w:ascii="Times New Roman" w:hAnsi="Times New Roman" w:eastAsia="黑体" w:cs="Times New Roman"/>
          <w:sz w:val="36"/>
          <w:szCs w:val="36"/>
          <w:lang w:val="en-US" w:eastAsia="zh-CN"/>
        </w:rPr>
      </w:pPr>
    </w:p>
    <w:p w14:paraId="4AD26677">
      <w:pPr>
        <w:pStyle w:val="16"/>
        <w:rPr>
          <w:rStyle w:val="17"/>
          <w:rFonts w:hint="default" w:ascii="Times New Roman" w:hAnsi="Times New Roman" w:eastAsia="黑体" w:cs="Times New Roman"/>
          <w:sz w:val="36"/>
          <w:szCs w:val="36"/>
          <w:lang w:val="en-US" w:eastAsia="zh-CN"/>
        </w:rPr>
      </w:pPr>
    </w:p>
    <w:p w14:paraId="73FDBCDE">
      <w:pPr>
        <w:pStyle w:val="16"/>
        <w:rPr>
          <w:rStyle w:val="17"/>
          <w:rFonts w:hint="default" w:ascii="Times New Roman" w:hAnsi="Times New Roman" w:eastAsia="黑体" w:cs="Times New Roman"/>
          <w:sz w:val="36"/>
          <w:szCs w:val="36"/>
          <w:lang w:val="en-US" w:eastAsia="zh-CN"/>
        </w:rPr>
      </w:pPr>
    </w:p>
    <w:p w14:paraId="6A8A78FA">
      <w:pPr>
        <w:pStyle w:val="16"/>
        <w:rPr>
          <w:rStyle w:val="17"/>
          <w:rFonts w:hint="default" w:ascii="Times New Roman" w:hAnsi="Times New Roman" w:eastAsia="黑体" w:cs="Times New Roman"/>
          <w:sz w:val="36"/>
          <w:szCs w:val="36"/>
          <w:lang w:val="en-US" w:eastAsia="zh-CN"/>
        </w:rPr>
      </w:pPr>
    </w:p>
    <w:p w14:paraId="6F123D84">
      <w:pPr>
        <w:pStyle w:val="16"/>
        <w:rPr>
          <w:rStyle w:val="17"/>
          <w:rFonts w:hint="default" w:ascii="Times New Roman" w:hAnsi="Times New Roman" w:eastAsia="黑体" w:cs="Times New Roman"/>
          <w:sz w:val="36"/>
          <w:szCs w:val="36"/>
          <w:lang w:val="en-US" w:eastAsia="zh-CN"/>
        </w:rPr>
      </w:pPr>
    </w:p>
    <w:p w14:paraId="3B8AD3DD">
      <w:pPr>
        <w:pStyle w:val="16"/>
        <w:rPr>
          <w:rStyle w:val="17"/>
          <w:rFonts w:hint="default" w:ascii="Times New Roman" w:hAnsi="Times New Roman" w:eastAsia="黑体" w:cs="Times New Roman"/>
          <w:sz w:val="36"/>
          <w:szCs w:val="36"/>
          <w:lang w:val="en-US" w:eastAsia="zh-CN"/>
        </w:rPr>
      </w:pPr>
    </w:p>
    <w:p w14:paraId="5C67E28F">
      <w:pPr>
        <w:pStyle w:val="16"/>
        <w:rPr>
          <w:rStyle w:val="17"/>
          <w:rFonts w:hint="default" w:ascii="Times New Roman" w:hAnsi="Times New Roman" w:eastAsia="黑体" w:cs="Times New Roman"/>
          <w:sz w:val="36"/>
          <w:szCs w:val="36"/>
          <w:lang w:val="en-US" w:eastAsia="zh-CN"/>
        </w:rPr>
      </w:pPr>
    </w:p>
    <w:p w14:paraId="6063769F">
      <w:pPr>
        <w:bidi w:val="0"/>
        <w:jc w:val="center"/>
        <w:rPr>
          <w:rFonts w:hint="eastAsia" w:ascii="黑体" w:hAnsi="黑体" w:eastAsia="黑体" w:cs="黑体"/>
          <w:sz w:val="32"/>
          <w:szCs w:val="40"/>
        </w:rPr>
      </w:pPr>
      <w:r>
        <w:rPr>
          <w:rFonts w:hint="eastAsia" w:ascii="黑体" w:hAnsi="黑体" w:eastAsia="黑体" w:cs="黑体"/>
          <w:sz w:val="32"/>
          <w:szCs w:val="40"/>
          <w:lang w:val="en-US" w:eastAsia="zh-CN"/>
        </w:rPr>
        <w:t>指南</w:t>
      </w:r>
      <w:r>
        <w:rPr>
          <w:rFonts w:hint="eastAsia" w:ascii="黑体" w:hAnsi="黑体" w:eastAsia="黑体" w:cs="黑体"/>
          <w:sz w:val="32"/>
          <w:szCs w:val="40"/>
        </w:rPr>
        <w:t>编制组</w:t>
      </w:r>
    </w:p>
    <w:p w14:paraId="67A4FDB7">
      <w:pPr>
        <w:bidi w:val="0"/>
        <w:jc w:val="center"/>
        <w:rPr>
          <w:rStyle w:val="17"/>
          <w:rFonts w:hint="default" w:ascii="Times New Roman" w:hAnsi="Times New Roman" w:cs="Times New Roman"/>
          <w:szCs w:val="30"/>
        </w:rPr>
      </w:pPr>
      <w:r>
        <w:rPr>
          <w:rFonts w:hint="eastAsia" w:ascii="黑体" w:hAnsi="黑体" w:eastAsia="黑体" w:cs="黑体"/>
          <w:sz w:val="32"/>
          <w:szCs w:val="40"/>
        </w:rPr>
        <w:t>二</w:t>
      </w:r>
      <w:r>
        <w:rPr>
          <w:rFonts w:hint="eastAsia" w:ascii="黑体" w:hAnsi="黑体" w:eastAsia="黑体" w:cs="黑体"/>
          <w:sz w:val="32"/>
          <w:szCs w:val="40"/>
          <w:lang w:val="en-US" w:eastAsia="zh-CN"/>
        </w:rPr>
        <w:t>〇</w:t>
      </w:r>
      <w:r>
        <w:rPr>
          <w:rFonts w:hint="eastAsia" w:ascii="黑体" w:hAnsi="黑体" w:eastAsia="黑体" w:cs="黑体"/>
          <w:sz w:val="32"/>
          <w:szCs w:val="40"/>
        </w:rPr>
        <w:t>二</w:t>
      </w:r>
      <w:r>
        <w:rPr>
          <w:rFonts w:hint="eastAsia" w:ascii="黑体" w:hAnsi="黑体" w:eastAsia="黑体" w:cs="黑体"/>
          <w:sz w:val="32"/>
          <w:szCs w:val="40"/>
          <w:lang w:val="en-US" w:eastAsia="zh-CN"/>
        </w:rPr>
        <w:t>四</w:t>
      </w:r>
      <w:r>
        <w:rPr>
          <w:rFonts w:hint="eastAsia" w:ascii="黑体" w:hAnsi="黑体" w:eastAsia="黑体" w:cs="黑体"/>
          <w:sz w:val="32"/>
          <w:szCs w:val="40"/>
        </w:rPr>
        <w:t>年</w:t>
      </w:r>
      <w:r>
        <w:rPr>
          <w:rFonts w:hint="eastAsia" w:ascii="黑体" w:hAnsi="黑体" w:eastAsia="黑体" w:cs="黑体"/>
          <w:sz w:val="32"/>
          <w:szCs w:val="40"/>
          <w:lang w:val="en-US" w:eastAsia="zh-CN"/>
        </w:rPr>
        <w:t>九</w:t>
      </w:r>
      <w:r>
        <w:rPr>
          <w:rFonts w:hint="eastAsia" w:ascii="黑体" w:hAnsi="黑体" w:eastAsia="黑体" w:cs="黑体"/>
          <w:sz w:val="32"/>
          <w:szCs w:val="40"/>
        </w:rPr>
        <w:t>月</w:t>
      </w:r>
    </w:p>
    <w:p w14:paraId="509FC182">
      <w:pPr>
        <w:rPr>
          <w:rStyle w:val="17"/>
          <w:rFonts w:hint="default" w:ascii="Times New Roman" w:hAnsi="Times New Roman" w:cs="Times New Roman"/>
          <w:sz w:val="30"/>
          <w:szCs w:val="30"/>
          <w:lang w:val="en-US" w:eastAsia="zh-CN"/>
        </w:rPr>
        <w:sectPr>
          <w:pgSz w:w="11906" w:h="16838"/>
          <w:pgMar w:top="1440" w:right="1800" w:bottom="1440" w:left="1800" w:header="851" w:footer="992" w:gutter="0"/>
          <w:cols w:space="425" w:num="1"/>
          <w:docGrid w:type="lines" w:linePitch="312" w:charSpace="0"/>
        </w:sectPr>
      </w:pPr>
    </w:p>
    <w:p w14:paraId="43C2F3CD">
      <w:pPr>
        <w:pStyle w:val="16"/>
        <w:rPr>
          <w:rFonts w:hint="default"/>
          <w:lang w:val="en-US" w:eastAsia="zh-CN"/>
        </w:rPr>
      </w:pPr>
    </w:p>
    <w:p w14:paraId="08AA2A27">
      <w:pPr>
        <w:pStyle w:val="16"/>
        <w:rPr>
          <w:rFonts w:hint="default"/>
          <w:lang w:val="en-US" w:eastAsia="zh-CN"/>
        </w:rPr>
      </w:pPr>
    </w:p>
    <w:p w14:paraId="3BBECA6B">
      <w:pPr>
        <w:pStyle w:val="16"/>
        <w:rPr>
          <w:rFonts w:hint="default"/>
          <w:lang w:val="en-US" w:eastAsia="zh-CN"/>
        </w:rPr>
      </w:pPr>
    </w:p>
    <w:p w14:paraId="7BC10F2C">
      <w:pPr>
        <w:pStyle w:val="16"/>
        <w:rPr>
          <w:rFonts w:hint="default"/>
          <w:lang w:val="en-US" w:eastAsia="zh-CN"/>
        </w:rPr>
        <w:sectPr>
          <w:pgSz w:w="11906" w:h="16838"/>
          <w:pgMar w:top="1440" w:right="1800" w:bottom="1440" w:left="1800" w:header="851" w:footer="992" w:gutter="0"/>
          <w:cols w:space="425" w:num="1"/>
          <w:docGrid w:type="lines" w:linePitch="312" w:charSpace="0"/>
        </w:sectPr>
      </w:pPr>
    </w:p>
    <w:p w14:paraId="77617DE7">
      <w:pPr>
        <w:pStyle w:val="2"/>
        <w:bidi w:val="0"/>
        <w:rPr>
          <w:rFonts w:hint="default"/>
          <w:lang w:val="en-US" w:eastAsia="zh-CN"/>
        </w:rPr>
      </w:pPr>
      <w:r>
        <w:rPr>
          <w:rFonts w:hint="eastAsia"/>
          <w:lang w:val="en-US" w:eastAsia="zh-CN"/>
        </w:rPr>
        <w:t>1、出台背景</w:t>
      </w:r>
    </w:p>
    <w:p w14:paraId="52C725D5">
      <w:pPr>
        <w:pStyle w:val="3"/>
        <w:bidi w:val="0"/>
        <w:rPr>
          <w:rFonts w:hint="eastAsia"/>
          <w:lang w:val="en-US" w:eastAsia="zh-CN"/>
        </w:rPr>
      </w:pPr>
      <w:r>
        <w:rPr>
          <w:rFonts w:hint="eastAsia"/>
          <w:lang w:val="en-US" w:eastAsia="zh-CN"/>
        </w:rPr>
        <w:t>1.1任务来源</w:t>
      </w:r>
    </w:p>
    <w:p w14:paraId="3CE256E6">
      <w:pPr>
        <w:bidi w:val="0"/>
        <w:rPr>
          <w:rFonts w:hint="default"/>
          <w:lang w:val="en-US" w:eastAsia="zh-CN"/>
        </w:rPr>
      </w:pPr>
      <w:r>
        <w:rPr>
          <w:rFonts w:hint="default"/>
          <w:lang w:val="en-US" w:eastAsia="zh-CN"/>
        </w:rPr>
        <w:t>为加强</w:t>
      </w:r>
      <w:r>
        <w:rPr>
          <w:rFonts w:hint="eastAsia"/>
          <w:lang w:val="en-US" w:eastAsia="zh-CN"/>
        </w:rPr>
        <w:t>饮用水水源地</w:t>
      </w:r>
      <w:r>
        <w:rPr>
          <w:rFonts w:hint="default"/>
          <w:lang w:val="en-US" w:eastAsia="zh-CN"/>
        </w:rPr>
        <w:t>水</w:t>
      </w:r>
      <w:r>
        <w:rPr>
          <w:rFonts w:hint="eastAsia"/>
          <w:lang w:val="en-US" w:eastAsia="zh-CN"/>
        </w:rPr>
        <w:t>蓝藻水华</w:t>
      </w:r>
      <w:r>
        <w:rPr>
          <w:rFonts w:hint="default"/>
          <w:lang w:val="en-US" w:eastAsia="zh-CN"/>
        </w:rPr>
        <w:t>染防治工作，保障我省饮用水水源地用水安全</w:t>
      </w:r>
      <w:r>
        <w:rPr>
          <w:rFonts w:hint="eastAsia"/>
          <w:lang w:val="en-US" w:eastAsia="zh-CN"/>
        </w:rPr>
        <w:t>，</w:t>
      </w:r>
      <w:r>
        <w:rPr>
          <w:rFonts w:hint="default"/>
          <w:lang w:val="en-US" w:eastAsia="zh-CN"/>
        </w:rPr>
        <w:t>助力我省深入打好碧水保卫战，江西省生态环境科学研究与规划院负责，中国科学院水生生物研究所</w:t>
      </w:r>
      <w:r>
        <w:rPr>
          <w:rFonts w:hint="eastAsia"/>
          <w:lang w:val="en-US" w:eastAsia="zh-CN"/>
        </w:rPr>
        <w:t>、江西省水利科学院</w:t>
      </w:r>
      <w:r>
        <w:rPr>
          <w:rFonts w:hint="default"/>
          <w:lang w:val="en-US" w:eastAsia="zh-CN"/>
        </w:rPr>
        <w:t>等单位作为协作单位共同开展《饮用水水源地蓝藻水华应急防控技术指南》制定工作</w:t>
      </w:r>
      <w:r>
        <w:rPr>
          <w:rFonts w:hint="eastAsia"/>
          <w:lang w:val="en-US" w:eastAsia="zh-CN"/>
        </w:rPr>
        <w:t>。</w:t>
      </w:r>
    </w:p>
    <w:p w14:paraId="7BFA220D">
      <w:pPr>
        <w:pStyle w:val="3"/>
        <w:bidi w:val="0"/>
        <w:rPr>
          <w:rFonts w:hint="default"/>
          <w:lang w:val="en-US" w:eastAsia="zh-CN"/>
        </w:rPr>
      </w:pPr>
      <w:r>
        <w:rPr>
          <w:rFonts w:hint="eastAsia"/>
          <w:lang w:val="en-US" w:eastAsia="zh-CN"/>
        </w:rPr>
        <w:t>1.2编制过程</w:t>
      </w:r>
    </w:p>
    <w:p w14:paraId="41A357B5">
      <w:pPr>
        <w:bidi w:val="0"/>
        <w:ind w:firstLine="48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标准编制的主要工作过程及具体工作内容等如下表所示：</w:t>
      </w:r>
    </w:p>
    <w:p w14:paraId="600F14CF">
      <w:pPr>
        <w:pStyle w:val="14"/>
        <w:bidi w:val="0"/>
      </w:pPr>
      <w:r>
        <w:t>表1 标准编制计划安排</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1526"/>
        <w:gridCol w:w="5479"/>
      </w:tblGrid>
      <w:tr w14:paraId="4C4F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90" w:type="pct"/>
            <w:vAlign w:val="center"/>
          </w:tcPr>
          <w:p w14:paraId="6E88AF6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sz w:val="24"/>
                <w:szCs w:val="24"/>
              </w:rPr>
            </w:pPr>
            <w:r>
              <w:rPr>
                <w:rFonts w:hint="eastAsia" w:ascii="宋体" w:hAnsi="宋体" w:eastAsia="宋体" w:cs="宋体"/>
                <w:b/>
                <w:sz w:val="24"/>
                <w:szCs w:val="24"/>
              </w:rPr>
              <w:t>时间节点</w:t>
            </w:r>
          </w:p>
        </w:tc>
        <w:tc>
          <w:tcPr>
            <w:tcW w:w="895" w:type="pct"/>
            <w:vAlign w:val="center"/>
          </w:tcPr>
          <w:p w14:paraId="5455106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sz w:val="24"/>
                <w:szCs w:val="24"/>
              </w:rPr>
            </w:pPr>
            <w:r>
              <w:rPr>
                <w:rFonts w:hint="eastAsia" w:ascii="宋体" w:hAnsi="宋体" w:eastAsia="宋体" w:cs="宋体"/>
                <w:b/>
                <w:sz w:val="24"/>
                <w:szCs w:val="24"/>
              </w:rPr>
              <w:t>阶段工作</w:t>
            </w:r>
          </w:p>
        </w:tc>
        <w:tc>
          <w:tcPr>
            <w:tcW w:w="3214" w:type="pct"/>
            <w:vAlign w:val="center"/>
          </w:tcPr>
          <w:p w14:paraId="22DDDE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sz w:val="24"/>
                <w:szCs w:val="24"/>
              </w:rPr>
            </w:pPr>
            <w:r>
              <w:rPr>
                <w:rFonts w:hint="eastAsia" w:ascii="宋体" w:hAnsi="宋体" w:eastAsia="宋体" w:cs="宋体"/>
                <w:b/>
                <w:sz w:val="24"/>
                <w:szCs w:val="24"/>
              </w:rPr>
              <w:t>具体工作内容</w:t>
            </w:r>
          </w:p>
        </w:tc>
      </w:tr>
      <w:tr w14:paraId="167D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0" w:type="pct"/>
            <w:shd w:val="clear" w:color="auto" w:fill="auto"/>
            <w:vAlign w:val="center"/>
          </w:tcPr>
          <w:p w14:paraId="7A08F1D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2023.06</w:t>
            </w:r>
          </w:p>
        </w:tc>
        <w:tc>
          <w:tcPr>
            <w:tcW w:w="895" w:type="pct"/>
            <w:vAlign w:val="center"/>
          </w:tcPr>
          <w:p w14:paraId="7FCFFAF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s="宋体"/>
                <w:sz w:val="24"/>
                <w:szCs w:val="24"/>
                <w:lang w:val="en-US" w:eastAsia="zh-CN"/>
              </w:rPr>
            </w:pPr>
            <w:r>
              <w:rPr>
                <w:rFonts w:hint="eastAsia" w:ascii="宋体" w:hAnsi="宋体" w:cs="宋体"/>
                <w:sz w:val="24"/>
                <w:szCs w:val="24"/>
                <w:lang w:val="en-US" w:eastAsia="zh-CN"/>
              </w:rPr>
              <w:t>编制</w:t>
            </w:r>
            <w:r>
              <w:rPr>
                <w:rFonts w:hint="eastAsia" w:ascii="宋体" w:hAnsi="宋体" w:eastAsia="宋体" w:cs="宋体"/>
                <w:sz w:val="24"/>
                <w:szCs w:val="24"/>
                <w:lang w:eastAsia="zh-CN"/>
              </w:rPr>
              <w:t>地方标准项目建议书和草案</w:t>
            </w:r>
          </w:p>
        </w:tc>
        <w:tc>
          <w:tcPr>
            <w:tcW w:w="3214" w:type="pct"/>
            <w:vAlign w:val="center"/>
          </w:tcPr>
          <w:p w14:paraId="1EAA31E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ascii="宋体" w:hAnsi="宋体" w:cs="宋体"/>
                <w:sz w:val="24"/>
                <w:szCs w:val="24"/>
                <w:lang w:val="en-US" w:eastAsia="zh-CN"/>
              </w:rPr>
            </w:pPr>
            <w:r>
              <w:rPr>
                <w:rFonts w:hint="eastAsia" w:ascii="宋体" w:hAnsi="宋体" w:cs="宋体"/>
                <w:sz w:val="24"/>
                <w:szCs w:val="24"/>
                <w:lang w:val="en-US" w:eastAsia="zh-CN"/>
              </w:rPr>
              <w:t>组织省内外优势科研力量，成立标准编制组，编制</w:t>
            </w:r>
            <w:r>
              <w:rPr>
                <w:rFonts w:hint="eastAsia" w:ascii="宋体" w:hAnsi="宋体" w:eastAsia="宋体" w:cs="宋体"/>
                <w:sz w:val="24"/>
                <w:szCs w:val="24"/>
                <w:lang w:eastAsia="zh-CN"/>
              </w:rPr>
              <w:t>项目建议书和草案</w:t>
            </w:r>
            <w:r>
              <w:rPr>
                <w:rFonts w:hint="eastAsia" w:ascii="宋体" w:hAnsi="宋体" w:cs="宋体"/>
                <w:sz w:val="24"/>
                <w:szCs w:val="24"/>
                <w:lang w:eastAsia="zh-CN"/>
              </w:rPr>
              <w:t>。</w:t>
            </w:r>
          </w:p>
        </w:tc>
      </w:tr>
      <w:tr w14:paraId="7C99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0" w:type="pct"/>
            <w:shd w:val="clear" w:color="auto" w:fill="auto"/>
            <w:vAlign w:val="center"/>
          </w:tcPr>
          <w:p w14:paraId="2FB7796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rPr>
              <w:t>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07</w:t>
            </w:r>
          </w:p>
        </w:tc>
        <w:tc>
          <w:tcPr>
            <w:tcW w:w="895" w:type="pct"/>
            <w:vAlign w:val="center"/>
          </w:tcPr>
          <w:p w14:paraId="6E4D8D1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厅内审</w:t>
            </w:r>
          </w:p>
        </w:tc>
        <w:tc>
          <w:tcPr>
            <w:tcW w:w="3214" w:type="pct"/>
            <w:vAlign w:val="center"/>
          </w:tcPr>
          <w:p w14:paraId="13A152B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省生态环境厅召开指南内审会议，针对</w:t>
            </w:r>
            <w:r>
              <w:rPr>
                <w:rFonts w:hint="eastAsia" w:ascii="宋体" w:hAnsi="宋体" w:eastAsia="宋体" w:cs="宋体"/>
                <w:sz w:val="24"/>
                <w:szCs w:val="24"/>
                <w:lang w:eastAsia="zh-CN"/>
              </w:rPr>
              <w:t>建议书和草案</w:t>
            </w:r>
            <w:r>
              <w:rPr>
                <w:rFonts w:hint="eastAsia" w:ascii="宋体" w:hAnsi="宋体" w:cs="宋体"/>
                <w:sz w:val="24"/>
                <w:szCs w:val="24"/>
                <w:lang w:val="en-US" w:eastAsia="zh-CN"/>
              </w:rPr>
              <w:t>提出修改意见</w:t>
            </w:r>
          </w:p>
        </w:tc>
      </w:tr>
      <w:tr w14:paraId="33E9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0" w:type="pct"/>
            <w:vAlign w:val="center"/>
          </w:tcPr>
          <w:p w14:paraId="474B7B6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cs="宋体"/>
                <w:sz w:val="24"/>
                <w:szCs w:val="24"/>
                <w:lang w:val="en-US" w:eastAsia="zh-CN"/>
              </w:rPr>
              <w:t>3</w:t>
            </w:r>
            <w:r>
              <w:rPr>
                <w:rFonts w:hint="eastAsia" w:ascii="宋体" w:hAnsi="宋体" w:eastAsia="宋体" w:cs="宋体"/>
                <w:sz w:val="24"/>
                <w:szCs w:val="24"/>
              </w:rPr>
              <w:t>.10</w:t>
            </w:r>
          </w:p>
        </w:tc>
        <w:tc>
          <w:tcPr>
            <w:tcW w:w="895" w:type="pct"/>
            <w:vAlign w:val="center"/>
          </w:tcPr>
          <w:p w14:paraId="3D6DAD6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申请立项</w:t>
            </w:r>
          </w:p>
        </w:tc>
        <w:tc>
          <w:tcPr>
            <w:tcW w:w="3214" w:type="pct"/>
            <w:vAlign w:val="center"/>
          </w:tcPr>
          <w:p w14:paraId="7D7E39F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修改完善后的</w:t>
            </w:r>
            <w:r>
              <w:rPr>
                <w:rFonts w:hint="eastAsia" w:ascii="宋体" w:hAnsi="宋体" w:eastAsia="宋体" w:cs="宋体"/>
                <w:sz w:val="24"/>
                <w:szCs w:val="24"/>
                <w:lang w:eastAsia="zh-CN"/>
              </w:rPr>
              <w:t>项目建议书和草案提交</w:t>
            </w:r>
            <w:r>
              <w:rPr>
                <w:rFonts w:hint="eastAsia" w:ascii="宋体" w:hAnsi="宋体" w:cs="宋体"/>
                <w:sz w:val="24"/>
                <w:szCs w:val="24"/>
                <w:lang w:val="en-US" w:eastAsia="zh-CN"/>
              </w:rPr>
              <w:t>到省市场监督管理局</w:t>
            </w:r>
            <w:r>
              <w:rPr>
                <w:rFonts w:hint="eastAsia" w:ascii="宋体" w:hAnsi="宋体" w:eastAsia="宋体" w:cs="宋体"/>
                <w:sz w:val="24"/>
                <w:szCs w:val="24"/>
                <w:lang w:eastAsia="zh-CN"/>
              </w:rPr>
              <w:t>。</w:t>
            </w:r>
          </w:p>
        </w:tc>
      </w:tr>
      <w:tr w14:paraId="6989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0" w:type="pct"/>
            <w:vAlign w:val="center"/>
          </w:tcPr>
          <w:p w14:paraId="7F621BC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2023.11</w:t>
            </w:r>
          </w:p>
        </w:tc>
        <w:tc>
          <w:tcPr>
            <w:tcW w:w="895" w:type="pct"/>
            <w:vAlign w:val="center"/>
          </w:tcPr>
          <w:p w14:paraId="4658473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立项答辩</w:t>
            </w:r>
          </w:p>
        </w:tc>
        <w:tc>
          <w:tcPr>
            <w:tcW w:w="3214" w:type="pct"/>
            <w:vAlign w:val="center"/>
          </w:tcPr>
          <w:p w14:paraId="3C19C6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ascii="宋体" w:hAnsi="宋体" w:cs="宋体"/>
                <w:sz w:val="24"/>
                <w:szCs w:val="24"/>
                <w:lang w:val="en-US" w:eastAsia="zh-CN"/>
              </w:rPr>
            </w:pPr>
            <w:r>
              <w:rPr>
                <w:rFonts w:hint="eastAsia" w:ascii="宋体" w:hAnsi="宋体" w:cs="宋体"/>
                <w:sz w:val="24"/>
                <w:szCs w:val="24"/>
                <w:lang w:val="en-US" w:eastAsia="zh-CN"/>
              </w:rPr>
              <w:t>省市场监督管理局召开标准立项答辩</w:t>
            </w:r>
          </w:p>
        </w:tc>
      </w:tr>
      <w:tr w14:paraId="751C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90" w:type="pct"/>
            <w:vAlign w:val="center"/>
          </w:tcPr>
          <w:p w14:paraId="1CC34C1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sz w:val="24"/>
                <w:szCs w:val="24"/>
                <w:lang w:val="en-US"/>
              </w:rPr>
            </w:pPr>
            <w:r>
              <w:rPr>
                <w:rFonts w:hint="eastAsia" w:ascii="宋体" w:hAnsi="宋体" w:eastAsia="宋体" w:cs="宋体"/>
                <w:sz w:val="24"/>
                <w:szCs w:val="24"/>
              </w:rPr>
              <w:t>20</w:t>
            </w:r>
            <w:r>
              <w:rPr>
                <w:rFonts w:hint="eastAsia" w:ascii="宋体" w:hAnsi="宋体" w:eastAsia="宋体" w:cs="宋体"/>
                <w:sz w:val="24"/>
                <w:szCs w:val="24"/>
                <w:lang w:eastAsia="zh-CN"/>
              </w:rPr>
              <w:t>2</w:t>
            </w:r>
            <w:r>
              <w:rPr>
                <w:rFonts w:hint="eastAsia" w:ascii="宋体" w:hAnsi="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12</w:t>
            </w:r>
          </w:p>
        </w:tc>
        <w:tc>
          <w:tcPr>
            <w:tcW w:w="895" w:type="pct"/>
            <w:vAlign w:val="center"/>
          </w:tcPr>
          <w:p w14:paraId="0551A36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立项下达</w:t>
            </w:r>
          </w:p>
        </w:tc>
        <w:tc>
          <w:tcPr>
            <w:tcW w:w="3214" w:type="pct"/>
            <w:vAlign w:val="center"/>
          </w:tcPr>
          <w:p w14:paraId="620C4C9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指南</w:t>
            </w:r>
            <w:r>
              <w:rPr>
                <w:rFonts w:hint="eastAsia" w:ascii="宋体" w:hAnsi="宋体" w:eastAsia="宋体" w:cs="宋体"/>
                <w:sz w:val="24"/>
                <w:szCs w:val="24"/>
              </w:rPr>
              <w:t>计划下达</w:t>
            </w:r>
            <w:r>
              <w:rPr>
                <w:rFonts w:hint="eastAsia" w:ascii="宋体" w:hAnsi="宋体" w:eastAsia="宋体" w:cs="宋体"/>
                <w:sz w:val="24"/>
                <w:szCs w:val="24"/>
                <w:lang w:eastAsia="zh-CN"/>
              </w:rPr>
              <w:t>。</w:t>
            </w:r>
          </w:p>
        </w:tc>
      </w:tr>
      <w:tr w14:paraId="18D2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0" w:type="pct"/>
            <w:vAlign w:val="center"/>
          </w:tcPr>
          <w:p w14:paraId="5781BE3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.0</w:t>
            </w:r>
            <w:r>
              <w:rPr>
                <w:rFonts w:hint="eastAsia" w:ascii="宋体" w:hAnsi="宋体" w:cs="宋体"/>
                <w:sz w:val="24"/>
                <w:szCs w:val="24"/>
                <w:lang w:val="en-US" w:eastAsia="zh-CN"/>
              </w:rPr>
              <w:t>9</w:t>
            </w:r>
          </w:p>
        </w:tc>
        <w:tc>
          <w:tcPr>
            <w:tcW w:w="895" w:type="pct"/>
            <w:vAlign w:val="center"/>
          </w:tcPr>
          <w:p w14:paraId="4AC56FD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sz w:val="24"/>
                <w:szCs w:val="24"/>
              </w:rPr>
            </w:pPr>
            <w:r>
              <w:rPr>
                <w:rFonts w:hint="eastAsia" w:ascii="宋体" w:hAnsi="宋体" w:cs="宋体"/>
                <w:sz w:val="24"/>
                <w:szCs w:val="24"/>
                <w:lang w:val="en-US" w:eastAsia="zh-CN"/>
              </w:rPr>
              <w:t>标准</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征求意见稿</w:t>
            </w:r>
            <w:r>
              <w:rPr>
                <w:rFonts w:hint="eastAsia" w:ascii="宋体" w:hAnsi="宋体" w:eastAsia="宋体" w:cs="宋体"/>
                <w:sz w:val="24"/>
                <w:szCs w:val="24"/>
                <w:lang w:val="en-US" w:eastAsia="zh-CN"/>
              </w:rPr>
              <w:t>）编制</w:t>
            </w:r>
          </w:p>
        </w:tc>
        <w:tc>
          <w:tcPr>
            <w:tcW w:w="3214" w:type="pct"/>
            <w:vAlign w:val="center"/>
          </w:tcPr>
          <w:p w14:paraId="118C1C7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收集国内外相关指南资料及相关科研成果，国内外应用现状及相关经验总结，存在问题及解决办法，对指南中的关键问题或难点问题进行调查研究，为确定指南内容提供依据。编制了</w:t>
            </w:r>
            <w:r>
              <w:rPr>
                <w:rFonts w:hint="eastAsia" w:ascii="宋体" w:hAnsi="宋体" w:cs="宋体"/>
                <w:sz w:val="24"/>
                <w:szCs w:val="24"/>
                <w:lang w:val="en-US" w:eastAsia="zh-CN"/>
              </w:rPr>
              <w:t>标准</w:t>
            </w:r>
            <w:r>
              <w:rPr>
                <w:rFonts w:hint="eastAsia" w:ascii="宋体" w:hAnsi="宋体" w:eastAsia="宋体" w:cs="宋体"/>
                <w:sz w:val="24"/>
                <w:szCs w:val="24"/>
                <w:lang w:eastAsia="zh-CN"/>
              </w:rPr>
              <w:t>和编制说明</w:t>
            </w:r>
            <w:r>
              <w:rPr>
                <w:rFonts w:hint="eastAsia" w:ascii="宋体" w:hAnsi="宋体" w:cs="宋体"/>
                <w:sz w:val="24"/>
                <w:szCs w:val="24"/>
                <w:lang w:val="en-US" w:eastAsia="zh-CN"/>
              </w:rPr>
              <w:t>征求意见稿。</w:t>
            </w:r>
          </w:p>
        </w:tc>
      </w:tr>
    </w:tbl>
    <w:p w14:paraId="5381EEE9">
      <w:pPr>
        <w:pStyle w:val="2"/>
        <w:bidi w:val="0"/>
        <w:rPr>
          <w:rFonts w:hint="default"/>
          <w:lang w:val="en-US" w:eastAsia="zh-CN"/>
        </w:rPr>
      </w:pPr>
      <w:r>
        <w:rPr>
          <w:rFonts w:hint="eastAsia"/>
          <w:lang w:val="en-US" w:eastAsia="zh-CN"/>
        </w:rPr>
        <w:t>2、必要性和可行性</w:t>
      </w:r>
    </w:p>
    <w:p w14:paraId="7FC769AC">
      <w:pPr>
        <w:pStyle w:val="3"/>
        <w:bidi w:val="0"/>
        <w:rPr>
          <w:rFonts w:hint="default"/>
          <w:lang w:val="en-US" w:eastAsia="zh-CN"/>
        </w:rPr>
      </w:pPr>
      <w:r>
        <w:rPr>
          <w:rFonts w:hint="eastAsia"/>
          <w:lang w:val="en-US" w:eastAsia="zh-CN"/>
        </w:rPr>
        <w:t>2.1</w:t>
      </w:r>
      <w:r>
        <w:rPr>
          <w:rFonts w:hint="default"/>
          <w:lang w:val="en-US" w:eastAsia="zh-CN"/>
        </w:rPr>
        <w:t>标准编制的必要性</w:t>
      </w:r>
    </w:p>
    <w:p w14:paraId="21B15146">
      <w:pPr>
        <w:bidi w:val="0"/>
        <w:ind w:firstLine="482" w:firstLineChars="200"/>
        <w:rPr>
          <w:rFonts w:hint="default"/>
          <w:b/>
          <w:bCs/>
          <w:lang w:val="en-US" w:eastAsia="zh-CN"/>
        </w:rPr>
      </w:pPr>
      <w:r>
        <w:rPr>
          <w:rFonts w:hint="default"/>
          <w:b/>
          <w:bCs/>
          <w:lang w:val="en-US" w:eastAsia="zh-CN"/>
        </w:rPr>
        <w:t>（1）是响应国家生态环境主管部门相关要求，助力我省深入打好碧水保卫战的实际行动</w:t>
      </w:r>
    </w:p>
    <w:p w14:paraId="79CFB393">
      <w:pPr>
        <w:bidi w:val="0"/>
        <w:ind w:firstLine="480" w:firstLineChars="200"/>
        <w:rPr>
          <w:rFonts w:hint="default"/>
          <w:lang w:val="en-US" w:eastAsia="zh-CN"/>
        </w:rPr>
      </w:pPr>
      <w:r>
        <w:rPr>
          <w:rFonts w:hint="default"/>
          <w:lang w:val="en-US" w:eastAsia="zh-CN"/>
        </w:rPr>
        <w:t>研究表明，全球范围内藻类水华的发生频率、规模和持续时间都在增加。我国自20世纪80年代以来，多数中型湖泊已进入富营养状态，目前已超过6000-8000 km2水体表面被蓝藻覆盖。不仅大型淡水湖泊如滇池、太湖、巢湖每年夏秋季都会暴发蓝藻水华，而且在华东、华中、西南、华南等地许多中小型湖泊、供水性水库、观赏娱乐性湖泊也相继发生了不同程度的蓝藻水华。蓝藻是水体富营养化的优势物种，具有极强的适应能力和旺盛的繁殖能力，在适宜的温度、水文水质条件下，会大量生长，形成水华，并在较短时间内死亡腐败，导致水体污染和大面积缺氧，产生恶臭，造成鱼类及水下植物大量死亡，部分蓝藻会产生藻毒素，危及人、畜饮水安全。因此针对蓝藻暴发期间的应急处理及综合防控对水质改善和生态修复具有重大意义。</w:t>
      </w:r>
    </w:p>
    <w:p w14:paraId="063BF913">
      <w:pPr>
        <w:bidi w:val="0"/>
        <w:ind w:firstLine="480" w:firstLineChars="200"/>
        <w:rPr>
          <w:rFonts w:hint="default"/>
          <w:lang w:val="en-US" w:eastAsia="zh-CN"/>
        </w:rPr>
      </w:pPr>
      <w:r>
        <w:rPr>
          <w:rFonts w:hint="default"/>
          <w:lang w:val="en-US" w:eastAsia="zh-CN"/>
        </w:rPr>
        <w:t>早在2014年6月27日，环境保护部发布了《关于加强重点湖泊蓝藻水华防控工作的通知》（环办函〔2014〕796号），要求加强预防蓝藻水华，确保水源地水质与供水安全。近年来，生态环境部每年发布关于重点湖库蓝藻水华防控工作的通知，明确要求各地要保障饮用水安全，积极采取相关措施防控湖库蓝藻水华灾害。因此，编制我省饮用水水源地蓝藻水华应急防控技术指南是响应国家号召，助力我省深入打好碧水保卫战的重要举措。</w:t>
      </w:r>
    </w:p>
    <w:p w14:paraId="7DA59812">
      <w:pPr>
        <w:bidi w:val="0"/>
        <w:ind w:firstLine="482" w:firstLineChars="200"/>
        <w:rPr>
          <w:rFonts w:hint="default"/>
          <w:b/>
          <w:bCs/>
          <w:lang w:val="en-US" w:eastAsia="zh-CN"/>
        </w:rPr>
      </w:pPr>
      <w:r>
        <w:rPr>
          <w:rFonts w:hint="default"/>
          <w:b/>
          <w:bCs/>
          <w:lang w:val="en-US" w:eastAsia="zh-CN"/>
        </w:rPr>
        <w:t>（2）是贯彻落实省委省政府领导批示，保障我省饮用水水源地用水安全的重要举措</w:t>
      </w:r>
    </w:p>
    <w:p w14:paraId="55B136B5">
      <w:pPr>
        <w:bidi w:val="0"/>
        <w:ind w:firstLine="480" w:firstLineChars="200"/>
        <w:rPr>
          <w:rFonts w:hint="default"/>
          <w:lang w:val="en-US" w:eastAsia="zh-CN"/>
        </w:rPr>
      </w:pPr>
      <w:r>
        <w:rPr>
          <w:rFonts w:hint="default"/>
          <w:lang w:val="en-US" w:eastAsia="zh-CN"/>
        </w:rPr>
        <w:t>尽管我省水生态环境质量总体较好，但受气候条件和人类活动持续影响，近年来我省河湖/库型饮用水水源地蓝藻水华暴发风险越来越大，每年夏季多地饮用水水源地暴发蓝藻水华。鄱阳湖作为我国最大的淡水湖，蓝藻水华风险关注度极高。第二次鄱阳湖科学考察发现，2000年以前，鄱阳湖并未发现蓝藻水华现象，2000年之后，鄱阳湖局部水域蓝藻水华事件明显增加。尤其是2022年夏季信江鹰潭段暴发大规模蓝藻水华，对鹰潭市江南水厂水源地、花园水厂水源地水质安全造成极大风险，此次事件引起省委省政府高度重视，省长叶建春批示“加密监测，深入分析，特别是要防范水源地蓝藻大面积暴发”，</w:t>
      </w:r>
      <w:r>
        <w:rPr>
          <w:rFonts w:hint="eastAsia"/>
          <w:lang w:val="en-US" w:eastAsia="zh-CN"/>
        </w:rPr>
        <w:t>时任</w:t>
      </w:r>
      <w:r>
        <w:rPr>
          <w:rFonts w:hint="default"/>
          <w:lang w:val="en-US" w:eastAsia="zh-CN"/>
        </w:rPr>
        <w:t>副省长陈小平批示“请生态环境厅指导各地加强监测预警，及时处置，确保水源地水质达标”。因此，编制饮用水水源地蓝藻水华应急防控技术指南是落实省委省政府领导批示的重要举措，对保障我省饮用水水源地用水安全具有重要意义。</w:t>
      </w:r>
    </w:p>
    <w:p w14:paraId="39C95309">
      <w:pPr>
        <w:bidi w:val="0"/>
        <w:ind w:firstLine="480" w:firstLineChars="200"/>
        <w:rPr>
          <w:rFonts w:hint="default"/>
          <w:lang w:val="en-US" w:eastAsia="zh-CN"/>
        </w:rPr>
      </w:pPr>
      <w:r>
        <w:rPr>
          <w:rFonts w:hint="default"/>
          <w:lang w:val="en-US" w:eastAsia="zh-CN"/>
        </w:rPr>
        <w:t>蓝藻水华是威胁湖泊和水库生态安全的重要因素。蓝藻水华的发生不仅制约了河湖水资源的可利用性，而且直接危害人类的健康生存和社会经济的可持续发展。大量蓝藻水华会引起水体水质下降，导致氮磷及COD超标，甚至产生藻类毒素，影响水源地饮用水供水安全。蓝藻易在河湖/库沿岸带和湖湾大量堆积，并腐烂发臭，释放大量藻毒素和异味物质，影响滨湖区居民正常生活、旅游及生态景观。目前，国家颁布了湖库蓝藻水华控制技术的相关标准，如2022年中国环境科学学会发布《湖库蓝藻水华应急控制技术指南》，2017年环境保护部（现生态环境部）发布的《湖(库)富营养化防治技术政策》、2012年生态环境部发布的《集中式饮用水水源环境保护指南》、2010年生态环境部发布的《分散式饮用水水源地环境保护指南》等，但这些标准对于不同类型饮用水水源地蓝藻水华控制技术并未有明确的规定，尤其是我省水系、水情复杂，国家的相关标准可能无法很好指导我省开展蓝藻水华应急防控工作，因此制定符合我省水情的《饮用水水源地蓝藻水华应急防控技术指南》是十分迫切和必要的。</w:t>
      </w:r>
    </w:p>
    <w:p w14:paraId="404D8687">
      <w:pPr>
        <w:pStyle w:val="3"/>
        <w:bidi w:val="0"/>
        <w:rPr>
          <w:rFonts w:hint="default"/>
          <w:lang w:val="en-US" w:eastAsia="zh-CN"/>
        </w:rPr>
      </w:pPr>
      <w:r>
        <w:rPr>
          <w:rFonts w:hint="eastAsia"/>
          <w:lang w:val="en-US" w:eastAsia="zh-CN"/>
        </w:rPr>
        <w:t>2.2</w:t>
      </w:r>
      <w:r>
        <w:rPr>
          <w:rFonts w:hint="default"/>
          <w:lang w:val="en-US" w:eastAsia="zh-CN"/>
        </w:rPr>
        <w:t>标准编制的可行性</w:t>
      </w:r>
    </w:p>
    <w:p w14:paraId="575C77A6">
      <w:pPr>
        <w:bidi w:val="0"/>
        <w:ind w:firstLine="482" w:firstLineChars="200"/>
        <w:rPr>
          <w:rFonts w:hint="default"/>
          <w:b/>
          <w:bCs/>
          <w:lang w:val="en-US" w:eastAsia="zh-CN"/>
        </w:rPr>
      </w:pPr>
      <w:r>
        <w:rPr>
          <w:rFonts w:hint="default"/>
          <w:b/>
          <w:bCs/>
          <w:lang w:val="en-US" w:eastAsia="zh-CN"/>
        </w:rPr>
        <w:t>（1）标准编制的经济成本低</w:t>
      </w:r>
    </w:p>
    <w:p w14:paraId="22F44355">
      <w:pPr>
        <w:bidi w:val="0"/>
        <w:ind w:firstLine="480" w:firstLineChars="200"/>
        <w:rPr>
          <w:rFonts w:hint="default"/>
          <w:lang w:val="en-US" w:eastAsia="zh-CN"/>
        </w:rPr>
      </w:pPr>
      <w:r>
        <w:rPr>
          <w:rFonts w:hint="default"/>
          <w:lang w:val="en-US" w:eastAsia="zh-CN"/>
        </w:rPr>
        <w:t>本标准中推荐的饮用水水源地的蓝藻水华应急防控技术在国内外较为成熟，无需开展相关技术研发，整个指南编制过程中经济成本投入较少，在人力、时间保障充足下能很好完成本标准编制工作。</w:t>
      </w:r>
    </w:p>
    <w:p w14:paraId="02BBF6B0">
      <w:pPr>
        <w:bidi w:val="0"/>
        <w:ind w:firstLine="482" w:firstLineChars="200"/>
        <w:rPr>
          <w:rFonts w:hint="default"/>
          <w:b/>
          <w:bCs/>
          <w:lang w:val="en-US" w:eastAsia="zh-CN"/>
        </w:rPr>
      </w:pPr>
      <w:r>
        <w:rPr>
          <w:rFonts w:hint="default"/>
          <w:b/>
          <w:bCs/>
          <w:lang w:val="en-US" w:eastAsia="zh-CN"/>
        </w:rPr>
        <w:t>（2）标准编制的技术团队强</w:t>
      </w:r>
    </w:p>
    <w:p w14:paraId="51D14553">
      <w:pPr>
        <w:bidi w:val="0"/>
        <w:ind w:firstLine="480" w:firstLineChars="200"/>
        <w:rPr>
          <w:rFonts w:hint="default"/>
          <w:lang w:val="en-US" w:eastAsia="zh-CN"/>
        </w:rPr>
      </w:pPr>
      <w:r>
        <w:rPr>
          <w:rFonts w:hint="default"/>
          <w:lang w:val="en-US" w:eastAsia="zh-CN"/>
        </w:rPr>
        <w:t>本标准编制工作联合了省内外蓝藻水华防控方面的优势团队科研力量，起草单位是江西省生态环境科学研究与规划院、中国科学院水生生物研究所</w:t>
      </w:r>
      <w:r>
        <w:rPr>
          <w:rFonts w:hint="eastAsia"/>
          <w:lang w:val="en-US" w:eastAsia="zh-CN"/>
        </w:rPr>
        <w:t>和</w:t>
      </w:r>
      <w:r>
        <w:rPr>
          <w:rFonts w:hint="default"/>
          <w:lang w:val="en-US" w:eastAsia="zh-CN"/>
        </w:rPr>
        <w:t>江西省水利科学院，标准编制团队既包括国家权威科研院所，又有地方科研机构，多方科研力量优势互补，为本标准的编制完成提供坚实的技术团队保障。</w:t>
      </w:r>
    </w:p>
    <w:p w14:paraId="61FE862D">
      <w:pPr>
        <w:bidi w:val="0"/>
        <w:ind w:firstLine="482" w:firstLineChars="200"/>
        <w:rPr>
          <w:rFonts w:hint="default"/>
          <w:b/>
          <w:bCs/>
          <w:lang w:val="en-US" w:eastAsia="zh-CN"/>
        </w:rPr>
      </w:pPr>
      <w:r>
        <w:rPr>
          <w:rFonts w:hint="default"/>
          <w:b/>
          <w:bCs/>
          <w:lang w:val="en-US" w:eastAsia="zh-CN"/>
        </w:rPr>
        <w:t>（3）标准编制的研究基础扎实</w:t>
      </w:r>
    </w:p>
    <w:p w14:paraId="0616D108">
      <w:pPr>
        <w:bidi w:val="0"/>
        <w:ind w:firstLine="480" w:firstLineChars="200"/>
        <w:rPr>
          <w:rFonts w:hint="default"/>
          <w:lang w:val="en-US" w:eastAsia="zh-CN"/>
        </w:rPr>
      </w:pPr>
      <w:r>
        <w:rPr>
          <w:rFonts w:hint="default"/>
          <w:lang w:val="en-US" w:eastAsia="zh-CN"/>
        </w:rPr>
        <w:t>为做好本标准的编制工作，前期标准起草单位江西省生态环境科学研究与规划院通过大量资料收集、实地调研、部门对接等方式，系统全面掌握了我省饮用水水源地蓝藻水华暴发基本情况，为本标准编制提供了有力的数据支撑。中国科学院水生生物研究所长期从事蓝藻水华防控技术研发，在太湖、滇池、巢湖、武汉东湖、江西信江等重要水体均有蓝藻水华治理成功的经验，集成了一批典型案例，为本标准编制提供了的充足的技术保障。</w:t>
      </w:r>
      <w:r>
        <w:rPr>
          <w:rFonts w:hint="eastAsia"/>
          <w:lang w:val="en-US" w:eastAsia="zh-CN"/>
        </w:rPr>
        <w:t>江西省</w:t>
      </w:r>
      <w:r>
        <w:rPr>
          <w:rFonts w:hint="default"/>
          <w:lang w:val="en-US" w:eastAsia="zh-CN"/>
        </w:rPr>
        <w:t>水利科学院</w:t>
      </w:r>
      <w:r>
        <w:rPr>
          <w:rFonts w:hint="eastAsia"/>
          <w:lang w:val="en-US" w:eastAsia="zh-CN"/>
        </w:rPr>
        <w:t>长期从事江西本地水体蓝藻水华监测预警与防控，</w:t>
      </w:r>
      <w:r>
        <w:rPr>
          <w:rFonts w:hint="default"/>
          <w:lang w:val="en-US" w:eastAsia="zh-CN"/>
        </w:rPr>
        <w:t>为本标准编制提供了</w:t>
      </w:r>
      <w:r>
        <w:rPr>
          <w:rFonts w:hint="eastAsia"/>
          <w:lang w:val="en-US" w:eastAsia="zh-CN"/>
        </w:rPr>
        <w:t>扎实的地方经验。</w:t>
      </w:r>
    </w:p>
    <w:p w14:paraId="1077B547">
      <w:pPr>
        <w:pStyle w:val="2"/>
        <w:bidi w:val="0"/>
        <w:rPr>
          <w:rFonts w:hint="default"/>
          <w:lang w:val="en-US" w:eastAsia="zh-CN"/>
        </w:rPr>
      </w:pPr>
      <w:r>
        <w:rPr>
          <w:rFonts w:hint="eastAsia"/>
          <w:lang w:val="en-US" w:eastAsia="zh-CN"/>
        </w:rPr>
        <w:t>3、江西省饮用水水源地蓝藻水华暴发现状</w:t>
      </w:r>
    </w:p>
    <w:p w14:paraId="767E32EC">
      <w:pPr>
        <w:bidi w:val="0"/>
        <w:ind w:firstLine="480" w:firstLineChars="200"/>
        <w:rPr>
          <w:rFonts w:hint="default"/>
          <w:lang w:val="en-US" w:eastAsia="zh-CN"/>
        </w:rPr>
      </w:pPr>
      <w:r>
        <w:rPr>
          <w:rFonts w:hint="default"/>
          <w:lang w:val="en-US" w:eastAsia="zh-CN"/>
        </w:rPr>
        <w:t>尽管我省水生态环境质量总体较好，但受气候条件和人类活动持续影响，近年来我省河湖/库型饮用水水源地蓝藻水华暴发风险越来越大，每年夏季多地饮用水水源地暴发蓝藻水华。鄱阳湖作为我国最大的淡水湖，蓝藻水华风险关注度极高。第二次鄱阳湖科学考察发现，2000年以前，鄱阳湖并未发现蓝藻水华现象，2000年之后，鄱阳湖局部水域蓝藻水华事件明显增加。事实上，2000年的大湖池、修河，2009年的星子水域，2009-2011年的鄱阳湖大水面，2011年东部湖区，2012年战备湖、常湖，2013-2014都昌水域，2018年青岚湖，2020年鄱阳湖出口，2021年蛤蟆石断面附近</w:t>
      </w:r>
      <w:r>
        <w:rPr>
          <w:rFonts w:hint="eastAsia"/>
          <w:lang w:val="en-US" w:eastAsia="zh-CN"/>
        </w:rPr>
        <w:t>，2024年蚌湖</w:t>
      </w:r>
      <w:r>
        <w:rPr>
          <w:rFonts w:hint="default"/>
          <w:lang w:val="en-US" w:eastAsia="zh-CN"/>
        </w:rPr>
        <w:t>均</w:t>
      </w:r>
      <w:r>
        <w:rPr>
          <w:rFonts w:hint="eastAsia"/>
          <w:lang w:val="en-US" w:eastAsia="zh-CN"/>
        </w:rPr>
        <w:t>被发现暴发</w:t>
      </w:r>
      <w:r>
        <w:rPr>
          <w:rFonts w:hint="default"/>
          <w:lang w:val="en-US" w:eastAsia="zh-CN"/>
        </w:rPr>
        <w:t>蓝藻水华，尤其是近几年夏季鄱阳湖饮用水水源地（湖口县自来水厂公司水源地、都昌县二水厂水源地、庐山市鄱阳湖型砂场水源地）所在水域均出现不同程度水华现象，鄱阳湖其他重点区域也多处暴发蓝藻水华，如鄱阳湖区南部区域、康山联圩附近、东部湖湾撮箕湖、赣江入湖口、鄱阳湖出口段等。尽管鄱阳湖还未像“三湖”（太湖、巢湖和滇池）周期性暴发严重的蓝藻水华，但鄱阳湖蓝藻水华暴发风险呈加重的趋势。除了鄱阳湖，近年来我省其他饮用水水源地蓝藻水华呈多点散发、局部暴发态势。通过媒体报道、地方反馈、文献资料、现场调查发现，我省出现水华的饮用水水源地有赣江南昌段水域、乌沙河、山口岩水库、仙女湖、信江鹰潭段、石壁坑水库、长岗水库、锦江高安段等。通常认为总磷与总氮浓度分别超过0.01 mg/L与0.15 mg/L时，蓝藻水华就可能发生，随着全球变暖趋势恶化，我省饮用水水源地暴发蓝藻水华风险较高。目前我省出现水华的其他重要水体有南昌市青山湖、艾溪湖、南昌抚河故道、南昌东湖东南北湖区、前湖、燃气小区池塘，九江市八里湖、十里河、太泊湖、庐山如琴湖、叶坪景区池塘、梓山镇潭头村池塘，上饶市信江（弋阳段、余干段）、槠溪河，抚州市焦石坝、廖坊电站附近水域、赣江新区桐溪河等。尤其是2022年夏季信江鹰潭段暴发大规模蓝藻水华，对鹰潭市江南水厂水源地、花园水厂水源地水质安全造成极大风险</w:t>
      </w:r>
      <w:r>
        <w:rPr>
          <w:rFonts w:hint="eastAsia"/>
          <w:lang w:val="en-US" w:eastAsia="zh-CN"/>
        </w:rPr>
        <w:t>。</w:t>
      </w:r>
    </w:p>
    <w:p w14:paraId="0430D319">
      <w:pPr>
        <w:pStyle w:val="2"/>
        <w:bidi w:val="0"/>
        <w:rPr>
          <w:rFonts w:hint="default"/>
          <w:lang w:val="en-US" w:eastAsia="zh-CN"/>
        </w:rPr>
      </w:pPr>
      <w:r>
        <w:rPr>
          <w:rFonts w:hint="eastAsia"/>
          <w:lang w:val="en-US" w:eastAsia="zh-CN"/>
        </w:rPr>
        <w:t>4、标准拟要解决的主要问题</w:t>
      </w:r>
    </w:p>
    <w:p w14:paraId="155E359A">
      <w:pPr>
        <w:bidi w:val="0"/>
        <w:ind w:firstLine="480" w:firstLineChars="200"/>
        <w:rPr>
          <w:rFonts w:hint="default" w:ascii="Times New Roman" w:hAnsi="Times New Roman" w:cs="Times New Roman"/>
          <w:lang w:val="en-US" w:eastAsia="zh-CN"/>
        </w:rPr>
      </w:pPr>
      <w:r>
        <w:rPr>
          <w:rFonts w:hint="default" w:ascii="Times New Roman" w:hAnsi="Times New Roman" w:cs="Times New Roman"/>
          <w:lang w:val="en-US" w:eastAsia="zh-CN"/>
        </w:rPr>
        <w:t>不同类型饮用水水源地暴发不同程度蓝藻水华（蓝藻种类、生物量密度）时，缺乏针对性应急防控技术</w:t>
      </w:r>
      <w:r>
        <w:rPr>
          <w:rFonts w:hint="eastAsia" w:ascii="Times New Roman" w:hAnsi="Times New Roman" w:cs="Times New Roman"/>
          <w:lang w:val="en-US" w:eastAsia="zh-CN"/>
        </w:rPr>
        <w:t>。</w:t>
      </w:r>
    </w:p>
    <w:p w14:paraId="10B9D4EE">
      <w:pPr>
        <w:pStyle w:val="2"/>
        <w:bidi w:val="0"/>
        <w:rPr>
          <w:rFonts w:hint="default"/>
          <w:lang w:val="en-US" w:eastAsia="zh-CN"/>
        </w:rPr>
      </w:pPr>
      <w:r>
        <w:rPr>
          <w:rFonts w:hint="eastAsia"/>
          <w:lang w:val="en-US" w:eastAsia="zh-CN"/>
        </w:rPr>
        <w:t>5、标准的主要技术内容</w:t>
      </w:r>
    </w:p>
    <w:p w14:paraId="315C0A72">
      <w:pPr>
        <w:pStyle w:val="3"/>
        <w:bidi w:val="0"/>
        <w:rPr>
          <w:rFonts w:hint="default"/>
        </w:rPr>
      </w:pPr>
      <w:bookmarkStart w:id="0" w:name="_Toc67297710"/>
      <w:bookmarkStart w:id="1" w:name="_Toc5973"/>
      <w:bookmarkStart w:id="2" w:name="_Toc16287"/>
      <w:bookmarkStart w:id="3" w:name="_Toc28887685"/>
      <w:bookmarkStart w:id="4" w:name="_Toc11925"/>
      <w:r>
        <w:rPr>
          <w:rFonts w:hint="eastAsia"/>
          <w:lang w:val="en-US" w:eastAsia="zh-CN"/>
        </w:rPr>
        <w:t>5.1标准适用</w:t>
      </w:r>
      <w:r>
        <w:rPr>
          <w:rFonts w:hint="default"/>
        </w:rPr>
        <w:t>范围</w:t>
      </w:r>
      <w:bookmarkEnd w:id="0"/>
      <w:bookmarkEnd w:id="1"/>
      <w:bookmarkEnd w:id="2"/>
      <w:bookmarkEnd w:id="3"/>
      <w:bookmarkEnd w:id="4"/>
    </w:p>
    <w:p w14:paraId="2A288BF0">
      <w:pPr>
        <w:bidi w:val="0"/>
        <w:ind w:firstLine="480" w:firstLineChars="200"/>
        <w:rPr>
          <w:rFonts w:hint="default"/>
        </w:rPr>
      </w:pPr>
      <w:r>
        <w:rPr>
          <w:rFonts w:hint="default"/>
        </w:rPr>
        <w:t>本文件规定了</w:t>
      </w:r>
      <w:r>
        <w:rPr>
          <w:rFonts w:hint="default"/>
          <w:lang w:val="en-US" w:eastAsia="zh-CN"/>
        </w:rPr>
        <w:t>饮用水水源地</w:t>
      </w:r>
      <w:r>
        <w:rPr>
          <w:rFonts w:hint="default"/>
        </w:rPr>
        <w:t>蓝藻水华应急</w:t>
      </w:r>
      <w:r>
        <w:rPr>
          <w:rFonts w:hint="default"/>
          <w:lang w:val="en-US" w:eastAsia="zh-CN"/>
        </w:rPr>
        <w:t>防控技术目标要求</w:t>
      </w:r>
      <w:r>
        <w:rPr>
          <w:rFonts w:hint="default"/>
        </w:rPr>
        <w:t>、</w:t>
      </w:r>
      <w:r>
        <w:rPr>
          <w:rFonts w:hint="default"/>
          <w:lang w:val="en-US" w:eastAsia="zh-CN"/>
        </w:rPr>
        <w:t>蓝藻水华监测、</w:t>
      </w:r>
      <w:r>
        <w:rPr>
          <w:rFonts w:hint="default"/>
        </w:rPr>
        <w:t>蓝藻水华</w:t>
      </w:r>
      <w:r>
        <w:rPr>
          <w:rFonts w:hint="default"/>
          <w:lang w:val="en-US" w:eastAsia="zh-CN"/>
        </w:rPr>
        <w:t>分级预警</w:t>
      </w:r>
      <w:r>
        <w:rPr>
          <w:rFonts w:hint="default"/>
        </w:rPr>
        <w:t>、蓝藻水华</w:t>
      </w:r>
      <w:r>
        <w:rPr>
          <w:rFonts w:hint="default"/>
          <w:lang w:val="en-US" w:eastAsia="zh-CN"/>
        </w:rPr>
        <w:t>应急防控</w:t>
      </w:r>
      <w:r>
        <w:rPr>
          <w:rFonts w:hint="default"/>
        </w:rPr>
        <w:t>技术、维护管理</w:t>
      </w:r>
      <w:r>
        <w:rPr>
          <w:rFonts w:hint="default"/>
          <w:lang w:val="en-US" w:eastAsia="zh-CN"/>
        </w:rPr>
        <w:t>及效果监测</w:t>
      </w:r>
      <w:r>
        <w:rPr>
          <w:rFonts w:hint="default"/>
        </w:rPr>
        <w:t>等内容。</w:t>
      </w:r>
    </w:p>
    <w:p w14:paraId="14698523">
      <w:pPr>
        <w:bidi w:val="0"/>
        <w:ind w:firstLine="480" w:firstLineChars="200"/>
        <w:rPr>
          <w:rFonts w:hint="default"/>
        </w:rPr>
      </w:pPr>
      <w:r>
        <w:rPr>
          <w:rFonts w:hint="default"/>
        </w:rPr>
        <w:t>本文件适用于</w:t>
      </w:r>
      <w:r>
        <w:rPr>
          <w:rFonts w:hint="eastAsia"/>
          <w:lang w:val="en-US" w:eastAsia="zh-CN"/>
        </w:rPr>
        <w:t>江西省</w:t>
      </w:r>
      <w:r>
        <w:rPr>
          <w:rFonts w:hint="default"/>
        </w:rPr>
        <w:t>湖库</w:t>
      </w:r>
      <w:r>
        <w:rPr>
          <w:rFonts w:hint="default"/>
          <w:lang w:eastAsia="zh-CN"/>
        </w:rPr>
        <w:t>、</w:t>
      </w:r>
      <w:r>
        <w:rPr>
          <w:rFonts w:hint="default"/>
          <w:lang w:val="en-US" w:eastAsia="zh-CN"/>
        </w:rPr>
        <w:t>河流型饮用水水源地</w:t>
      </w:r>
      <w:r>
        <w:rPr>
          <w:rFonts w:hint="default"/>
        </w:rPr>
        <w:t>的蓝藻水华应急</w:t>
      </w:r>
      <w:r>
        <w:rPr>
          <w:rFonts w:hint="default"/>
          <w:lang w:val="en-US" w:eastAsia="zh-CN"/>
        </w:rPr>
        <w:t>防控</w:t>
      </w:r>
      <w:r>
        <w:rPr>
          <w:rFonts w:hint="default"/>
        </w:rPr>
        <w:t>，其它水体可参考使用。</w:t>
      </w:r>
    </w:p>
    <w:p w14:paraId="7992E62E">
      <w:pPr>
        <w:pStyle w:val="3"/>
        <w:bidi w:val="0"/>
        <w:rPr>
          <w:rFonts w:hint="default"/>
        </w:rPr>
      </w:pPr>
      <w:bookmarkStart w:id="5" w:name="_Toc28887686"/>
      <w:bookmarkStart w:id="6" w:name="_Toc27818"/>
      <w:bookmarkStart w:id="7" w:name="_Toc67297711"/>
      <w:bookmarkStart w:id="8" w:name="_Toc19381"/>
      <w:bookmarkStart w:id="9" w:name="_Toc19250"/>
      <w:r>
        <w:rPr>
          <w:rFonts w:hint="eastAsia"/>
          <w:lang w:val="en-US" w:eastAsia="zh-CN"/>
        </w:rPr>
        <w:t>5.2</w:t>
      </w:r>
      <w:r>
        <w:rPr>
          <w:rFonts w:hint="default"/>
        </w:rPr>
        <w:t>规范性引用文件</w:t>
      </w:r>
      <w:bookmarkEnd w:id="5"/>
      <w:bookmarkEnd w:id="6"/>
      <w:bookmarkEnd w:id="7"/>
      <w:bookmarkEnd w:id="8"/>
      <w:bookmarkEnd w:id="9"/>
    </w:p>
    <w:p w14:paraId="7F41E255">
      <w:pPr>
        <w:bidi w:val="0"/>
        <w:ind w:firstLine="480" w:firstLineChars="200"/>
        <w:rPr>
          <w:rFonts w:hint="default"/>
        </w:rPr>
      </w:pPr>
      <w:r>
        <w:rPr>
          <w:rFonts w:hint="default"/>
        </w:rPr>
        <w:t>下列文件中的内容通过文中的规范性引用而构成本文件必不可少的条款。凡是不注日期的引用文件，其最新版本（包括所有的修改单）适用于本文件。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3"/>
        <w:gridCol w:w="5816"/>
      </w:tblGrid>
      <w:tr w14:paraId="0E27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0749ACCA">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HJ 1098</w:t>
            </w:r>
          </w:p>
        </w:tc>
        <w:tc>
          <w:tcPr>
            <w:tcW w:w="0" w:type="auto"/>
            <w:noWrap w:val="0"/>
            <w:vAlign w:val="center"/>
          </w:tcPr>
          <w:p w14:paraId="20718345">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水华遥感与地面监测评价技术规范</w:t>
            </w:r>
          </w:p>
        </w:tc>
      </w:tr>
      <w:tr w14:paraId="78BB5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44031D31">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GB 5479</w:t>
            </w:r>
          </w:p>
        </w:tc>
        <w:tc>
          <w:tcPr>
            <w:tcW w:w="0" w:type="auto"/>
            <w:noWrap w:val="0"/>
            <w:vAlign w:val="center"/>
          </w:tcPr>
          <w:p w14:paraId="60A7AD30">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生活饮用水卫</w:t>
            </w:r>
            <w:r>
              <w:rPr>
                <w:rFonts w:hint="default" w:ascii="Times New Roman" w:hAnsi="Times New Roman" w:eastAsia="宋体" w:cs="Times New Roman"/>
                <w:color w:val="auto"/>
                <w:sz w:val="24"/>
                <w:szCs w:val="24"/>
                <w:lang w:val="en-US" w:eastAsia="zh-CN"/>
              </w:rPr>
              <w:t>生</w:t>
            </w:r>
            <w:r>
              <w:rPr>
                <w:rFonts w:hint="default" w:ascii="Times New Roman" w:hAnsi="Times New Roman" w:eastAsia="宋体" w:cs="Times New Roman"/>
                <w:color w:val="auto"/>
                <w:sz w:val="24"/>
                <w:szCs w:val="24"/>
              </w:rPr>
              <w:t>标准</w:t>
            </w:r>
          </w:p>
        </w:tc>
      </w:tr>
      <w:tr w14:paraId="2A7C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2F16BCED">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GBT 20466</w:t>
            </w:r>
          </w:p>
        </w:tc>
        <w:tc>
          <w:tcPr>
            <w:tcW w:w="0" w:type="auto"/>
            <w:noWrap w:val="0"/>
            <w:vAlign w:val="center"/>
          </w:tcPr>
          <w:p w14:paraId="1497F45A">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水中微囊藻毒素的测定</w:t>
            </w:r>
          </w:p>
        </w:tc>
      </w:tr>
      <w:tr w14:paraId="35D0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3EBE395E">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GB/T 32470</w:t>
            </w:r>
          </w:p>
        </w:tc>
        <w:tc>
          <w:tcPr>
            <w:tcW w:w="0" w:type="auto"/>
            <w:noWrap w:val="0"/>
            <w:vAlign w:val="center"/>
          </w:tcPr>
          <w:p w14:paraId="507896F8">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生活饮用水臭味物质 土臭素和2-甲基异莰醇检验方法</w:t>
            </w:r>
          </w:p>
        </w:tc>
      </w:tr>
      <w:tr w14:paraId="091F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360D9AA8">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国家环保总局</w:t>
            </w:r>
          </w:p>
        </w:tc>
        <w:tc>
          <w:tcPr>
            <w:tcW w:w="0" w:type="auto"/>
            <w:noWrap w:val="0"/>
            <w:vAlign w:val="center"/>
          </w:tcPr>
          <w:p w14:paraId="4963BFEE">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水和废水监测方法（第四版增补版）</w:t>
            </w:r>
          </w:p>
        </w:tc>
      </w:tr>
      <w:tr w14:paraId="52A5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6AF13E7F">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T/CSES 78—2022</w:t>
            </w:r>
          </w:p>
        </w:tc>
        <w:tc>
          <w:tcPr>
            <w:tcW w:w="0" w:type="auto"/>
            <w:noWrap w:val="0"/>
            <w:vAlign w:val="center"/>
          </w:tcPr>
          <w:p w14:paraId="7BECDDCA">
            <w:pPr>
              <w:pStyle w:val="19"/>
              <w:keepNext w:val="0"/>
              <w:keepLines w:val="0"/>
              <w:pageBreakBefore w:val="0"/>
              <w:kinsoku/>
              <w:wordWrap/>
              <w:overflowPunct/>
              <w:topLinePunct w:val="0"/>
              <w:bidi w:val="0"/>
              <w:adjustRightInd/>
              <w:snapToGrid w:val="0"/>
              <w:ind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湖库蓝藻水华应急控制技术指南</w:t>
            </w:r>
          </w:p>
        </w:tc>
      </w:tr>
    </w:tbl>
    <w:p w14:paraId="220DFB1A">
      <w:pPr>
        <w:pStyle w:val="3"/>
        <w:bidi w:val="0"/>
        <w:rPr>
          <w:rFonts w:hint="default"/>
        </w:rPr>
      </w:pPr>
      <w:bookmarkStart w:id="10" w:name="_Toc28887690"/>
      <w:bookmarkEnd w:id="10"/>
      <w:bookmarkStart w:id="11" w:name="_Toc28887687"/>
      <w:bookmarkEnd w:id="11"/>
      <w:bookmarkStart w:id="12" w:name="_Toc28887689"/>
      <w:bookmarkEnd w:id="12"/>
      <w:bookmarkStart w:id="13" w:name="_Toc28887688"/>
      <w:bookmarkEnd w:id="13"/>
      <w:bookmarkStart w:id="14" w:name="_Toc67297712"/>
      <w:bookmarkStart w:id="15" w:name="_Toc26110"/>
      <w:bookmarkStart w:id="16" w:name="_Toc3996"/>
      <w:bookmarkStart w:id="17" w:name="_Toc23590"/>
      <w:bookmarkStart w:id="18" w:name="_Toc28887691"/>
      <w:r>
        <w:rPr>
          <w:rFonts w:hint="eastAsia"/>
          <w:lang w:val="en-US" w:eastAsia="zh-CN"/>
        </w:rPr>
        <w:t>5.3</w:t>
      </w:r>
      <w:r>
        <w:rPr>
          <w:rFonts w:hint="default"/>
        </w:rPr>
        <w:t>术语和定义</w:t>
      </w:r>
      <w:bookmarkEnd w:id="14"/>
      <w:bookmarkEnd w:id="15"/>
      <w:bookmarkEnd w:id="16"/>
      <w:bookmarkEnd w:id="17"/>
      <w:bookmarkEnd w:id="18"/>
    </w:p>
    <w:p w14:paraId="602AE3DE">
      <w:pPr>
        <w:bidi w:val="0"/>
        <w:ind w:firstLine="480" w:firstLineChars="200"/>
        <w:rPr>
          <w:rFonts w:hint="default"/>
        </w:rPr>
      </w:pPr>
      <w:r>
        <w:rPr>
          <w:rFonts w:hint="default"/>
        </w:rPr>
        <w:t>本标准对</w:t>
      </w:r>
      <w:bookmarkStart w:id="19" w:name="_Toc13313"/>
      <w:bookmarkEnd w:id="19"/>
      <w:bookmarkStart w:id="20" w:name="_Toc28887692"/>
      <w:bookmarkEnd w:id="20"/>
      <w:bookmarkStart w:id="21" w:name="_Toc28887693"/>
      <w:bookmarkStart w:id="22" w:name="_Hlk28244970"/>
      <w:bookmarkStart w:id="23" w:name="_Toc28856"/>
      <w:bookmarkStart w:id="24" w:name="_Toc67297713"/>
      <w:bookmarkStart w:id="25" w:name="_Toc29195622"/>
      <w:r>
        <w:rPr>
          <w:rFonts w:hint="default"/>
        </w:rPr>
        <w:t>蓝藻</w:t>
      </w:r>
      <w:bookmarkEnd w:id="21"/>
      <w:bookmarkEnd w:id="22"/>
      <w:bookmarkEnd w:id="23"/>
      <w:bookmarkEnd w:id="24"/>
      <w:bookmarkEnd w:id="25"/>
      <w:bookmarkStart w:id="26" w:name="_Hlk28244986"/>
      <w:r>
        <w:rPr>
          <w:rFonts w:hint="default"/>
          <w:lang w:eastAsia="zh-CN"/>
        </w:rPr>
        <w:t>、</w:t>
      </w:r>
      <w:r>
        <w:rPr>
          <w:rFonts w:hint="default"/>
          <w:lang w:val="en-US" w:eastAsia="zh-CN"/>
        </w:rPr>
        <w:t>藻类水华、蓝藻水华、水华程度</w:t>
      </w:r>
      <w:bookmarkEnd w:id="26"/>
      <w:bookmarkStart w:id="27" w:name="_Toc2709"/>
      <w:bookmarkEnd w:id="27"/>
      <w:bookmarkStart w:id="28" w:name="_Toc28887694"/>
      <w:bookmarkStart w:id="29" w:name="_Toc67297714"/>
      <w:r>
        <w:rPr>
          <w:rFonts w:hint="default"/>
          <w:lang w:val="en-US" w:eastAsia="zh-CN"/>
        </w:rPr>
        <w:t>、水华堆积区、藻密度、富藻水、藻浆、藻泥、蓝藻气浮隔离富集装置、物理控藻、化学控藻、非经典生物控藻和饮用水水源地这些术语进行了定义</w:t>
      </w:r>
      <w:r>
        <w:rPr>
          <w:rFonts w:hint="default"/>
        </w:rPr>
        <w:t>。</w:t>
      </w:r>
    </w:p>
    <w:bookmarkEnd w:id="28"/>
    <w:bookmarkEnd w:id="29"/>
    <w:p w14:paraId="47AD7925">
      <w:pPr>
        <w:pStyle w:val="3"/>
        <w:bidi w:val="0"/>
        <w:rPr>
          <w:rFonts w:hint="default"/>
        </w:rPr>
      </w:pPr>
      <w:bookmarkStart w:id="30" w:name="_Toc9339"/>
      <w:bookmarkStart w:id="31" w:name="_Toc1265"/>
      <w:bookmarkStart w:id="32" w:name="_Toc12222"/>
      <w:r>
        <w:rPr>
          <w:rFonts w:hint="eastAsia"/>
          <w:lang w:val="en-US" w:eastAsia="zh-CN"/>
        </w:rPr>
        <w:t>5.4</w:t>
      </w:r>
      <w:r>
        <w:rPr>
          <w:rFonts w:hint="default"/>
          <w:lang w:val="en-US" w:eastAsia="zh-CN"/>
        </w:rPr>
        <w:t>目标要求</w:t>
      </w:r>
      <w:bookmarkEnd w:id="30"/>
      <w:bookmarkEnd w:id="31"/>
      <w:bookmarkEnd w:id="32"/>
    </w:p>
    <w:p w14:paraId="1D6F64E2">
      <w:pPr>
        <w:pStyle w:val="4"/>
        <w:bidi w:val="0"/>
        <w:rPr>
          <w:rFonts w:hint="default"/>
          <w:lang w:val="en-US" w:eastAsia="zh-CN"/>
        </w:rPr>
      </w:pPr>
      <w:bookmarkStart w:id="33" w:name="_Toc133"/>
      <w:bookmarkStart w:id="34" w:name="_Toc67297715"/>
      <w:bookmarkStart w:id="35" w:name="_Toc28887695"/>
      <w:r>
        <w:rPr>
          <w:rFonts w:hint="eastAsia"/>
          <w:lang w:val="en-US" w:eastAsia="zh-CN"/>
        </w:rPr>
        <w:t>5.4.1</w:t>
      </w:r>
      <w:r>
        <w:rPr>
          <w:rFonts w:hint="default"/>
          <w:lang w:val="en-US" w:eastAsia="zh-CN"/>
        </w:rPr>
        <w:t>一般规定</w:t>
      </w:r>
      <w:bookmarkEnd w:id="33"/>
    </w:p>
    <w:p w14:paraId="06AE174D">
      <w:pPr>
        <w:bidi w:val="0"/>
        <w:ind w:firstLine="480" w:firstLineChars="200"/>
        <w:rPr>
          <w:rFonts w:hint="default"/>
        </w:rPr>
      </w:pPr>
      <w:r>
        <w:rPr>
          <w:rFonts w:hint="eastAsia"/>
          <w:lang w:eastAsia="zh-CN"/>
        </w:rPr>
        <w:t>（</w:t>
      </w:r>
      <w:r>
        <w:rPr>
          <w:rFonts w:hint="eastAsia"/>
          <w:lang w:val="en-US" w:eastAsia="zh-CN"/>
        </w:rPr>
        <w:t>1</w:t>
      </w:r>
      <w:r>
        <w:rPr>
          <w:rFonts w:hint="eastAsia"/>
          <w:lang w:eastAsia="zh-CN"/>
        </w:rPr>
        <w:t>）</w:t>
      </w:r>
      <w:r>
        <w:rPr>
          <w:rFonts w:hint="default"/>
        </w:rPr>
        <w:t>蓝藻水华控制目标应明确控制蓝藻水华对饮用水</w:t>
      </w:r>
      <w:r>
        <w:rPr>
          <w:rFonts w:hint="default"/>
          <w:lang w:val="en-US" w:eastAsia="zh-CN"/>
        </w:rPr>
        <w:t>水</w:t>
      </w:r>
      <w:r>
        <w:rPr>
          <w:rFonts w:hint="default"/>
        </w:rPr>
        <w:t>源地危害的程度。</w:t>
      </w:r>
    </w:p>
    <w:p w14:paraId="5FD528A3">
      <w:pPr>
        <w:bidi w:val="0"/>
        <w:ind w:firstLine="480" w:firstLineChars="200"/>
        <w:rPr>
          <w:rFonts w:hint="default"/>
          <w:lang w:eastAsia="zh-CN"/>
        </w:rPr>
      </w:pPr>
      <w:r>
        <w:rPr>
          <w:rFonts w:hint="eastAsia"/>
          <w:lang w:eastAsia="zh-CN"/>
        </w:rPr>
        <w:t>（</w:t>
      </w:r>
      <w:r>
        <w:rPr>
          <w:rFonts w:hint="eastAsia"/>
          <w:lang w:val="en-US" w:eastAsia="zh-CN"/>
        </w:rPr>
        <w:t>2</w:t>
      </w:r>
      <w:r>
        <w:rPr>
          <w:rFonts w:hint="eastAsia"/>
          <w:lang w:eastAsia="zh-CN"/>
        </w:rPr>
        <w:t>）</w:t>
      </w:r>
      <w:r>
        <w:rPr>
          <w:rFonts w:hint="default"/>
        </w:rPr>
        <w:t>蓝藻水华</w:t>
      </w:r>
      <w:r>
        <w:rPr>
          <w:rFonts w:hint="default"/>
          <w:lang w:val="en-US" w:eastAsia="zh-CN"/>
        </w:rPr>
        <w:t>分级预警</w:t>
      </w:r>
      <w:r>
        <w:rPr>
          <w:rFonts w:hint="default"/>
        </w:rPr>
        <w:t>应</w:t>
      </w:r>
      <w:r>
        <w:rPr>
          <w:rFonts w:hint="default"/>
          <w:lang w:val="en-US" w:eastAsia="zh-CN"/>
        </w:rPr>
        <w:t>基于藻密度和水华面积比例综合评价来确定</w:t>
      </w:r>
      <w:r>
        <w:rPr>
          <w:rFonts w:hint="default"/>
          <w:lang w:eastAsia="zh-CN"/>
        </w:rPr>
        <w:t>。</w:t>
      </w:r>
    </w:p>
    <w:p w14:paraId="16733C9F">
      <w:pPr>
        <w:bidi w:val="0"/>
        <w:ind w:firstLine="480" w:firstLineChars="200"/>
        <w:rPr>
          <w:rFonts w:hint="default"/>
          <w:lang w:val="en-US" w:eastAsia="zh-CN"/>
        </w:rPr>
      </w:pPr>
      <w:r>
        <w:rPr>
          <w:rFonts w:hint="eastAsia"/>
          <w:lang w:val="en-US" w:eastAsia="zh-CN"/>
        </w:rPr>
        <w:t>（3）</w:t>
      </w:r>
      <w:r>
        <w:rPr>
          <w:rFonts w:hint="default"/>
          <w:lang w:val="en-US" w:eastAsia="zh-CN"/>
        </w:rPr>
        <w:t>蓝藻水华控制技术应安全可靠，河流湖库型饮用水水源地防控技术要有针对性和区分性。</w:t>
      </w:r>
    </w:p>
    <w:p w14:paraId="568898C3">
      <w:pPr>
        <w:bidi w:val="0"/>
        <w:ind w:firstLine="480" w:firstLineChars="200"/>
        <w:rPr>
          <w:rFonts w:hint="default"/>
          <w:lang w:val="en-US" w:eastAsia="zh-CN"/>
        </w:rPr>
      </w:pPr>
      <w:r>
        <w:rPr>
          <w:rFonts w:hint="eastAsia"/>
          <w:lang w:val="en-US" w:eastAsia="zh-CN"/>
        </w:rPr>
        <w:t>（4）</w:t>
      </w:r>
      <w:r>
        <w:rPr>
          <w:rFonts w:hint="default"/>
          <w:lang w:val="en-US" w:eastAsia="zh-CN"/>
        </w:rPr>
        <w:t>应急物资不应对水体和周边环境造成二次污染。</w:t>
      </w:r>
    </w:p>
    <w:bookmarkEnd w:id="34"/>
    <w:bookmarkEnd w:id="35"/>
    <w:p w14:paraId="510EB3CA">
      <w:pPr>
        <w:pStyle w:val="4"/>
        <w:bidi w:val="0"/>
        <w:rPr>
          <w:rFonts w:hint="default" w:ascii="Times New Roman" w:hAnsi="Times New Roman" w:eastAsia="宋体" w:cs="Times New Roman"/>
          <w:color w:val="auto"/>
          <w:sz w:val="24"/>
          <w:szCs w:val="24"/>
          <w:lang w:val="en-US" w:eastAsia="zh-CN"/>
        </w:rPr>
      </w:pPr>
      <w:bookmarkStart w:id="36" w:name="_Toc1354"/>
      <w:r>
        <w:rPr>
          <w:rFonts w:hint="eastAsia" w:ascii="Times New Roman" w:hAnsi="Times New Roman" w:eastAsia="宋体" w:cs="Times New Roman"/>
          <w:color w:val="auto"/>
          <w:sz w:val="24"/>
          <w:szCs w:val="24"/>
          <w:lang w:val="en-US" w:eastAsia="zh-CN"/>
        </w:rPr>
        <w:t>5.4.2</w:t>
      </w:r>
      <w:r>
        <w:rPr>
          <w:rFonts w:hint="default" w:ascii="Times New Roman" w:hAnsi="Times New Roman" w:eastAsia="宋体" w:cs="Times New Roman"/>
          <w:color w:val="auto"/>
          <w:sz w:val="24"/>
          <w:szCs w:val="24"/>
          <w:lang w:val="en-US" w:eastAsia="zh-CN"/>
        </w:rPr>
        <w:t>总体目标</w:t>
      </w:r>
      <w:bookmarkEnd w:id="36"/>
    </w:p>
    <w:p w14:paraId="7DB465EC">
      <w:pPr>
        <w:bidi w:val="0"/>
        <w:ind w:firstLine="480" w:firstLineChars="200"/>
        <w:rPr>
          <w:rFonts w:hint="default"/>
          <w:lang w:val="en-US" w:eastAsia="zh-CN"/>
        </w:rPr>
      </w:pPr>
      <w:r>
        <w:rPr>
          <w:rFonts w:hint="eastAsia"/>
          <w:lang w:val="en-US" w:eastAsia="zh-CN"/>
        </w:rPr>
        <w:t>（1）</w:t>
      </w:r>
      <w:r>
        <w:rPr>
          <w:rFonts w:hint="default"/>
          <w:lang w:val="en-US" w:eastAsia="zh-CN"/>
        </w:rPr>
        <w:t>蓝藻水华防控首要目标应保障饮用水水源地水质和生态安全，确保饮用水水源地蓝藻细胞密度&lt; 1×107个/L，水华面积比例&lt;10%；饮用水源地藻毒素-LR含量、土臭素和2-二甲基异莰醇应符合GB 5479的规定。</w:t>
      </w:r>
    </w:p>
    <w:p w14:paraId="68BF6F66">
      <w:pPr>
        <w:bidi w:val="0"/>
        <w:ind w:firstLine="480" w:firstLineChars="200"/>
        <w:rPr>
          <w:rFonts w:hint="default"/>
          <w:lang w:val="en-US" w:eastAsia="zh-CN"/>
        </w:rPr>
      </w:pPr>
      <w:r>
        <w:rPr>
          <w:rFonts w:hint="eastAsia"/>
          <w:lang w:val="en-US" w:eastAsia="zh-CN"/>
        </w:rPr>
        <w:t>（2）</w:t>
      </w:r>
      <w:r>
        <w:rPr>
          <w:rFonts w:hint="default"/>
          <w:lang w:val="en-US" w:eastAsia="zh-CN"/>
        </w:rPr>
        <w:t>若蓝藻堆积区周边有城镇、重要景区等人群聚集区，应采取一定的控制措施，防止蓝藻堆积区蓝藻堆积产生臭味对周边人群造成影响，宜做到堆积区蓝藻水华日聚日清。</w:t>
      </w:r>
    </w:p>
    <w:p w14:paraId="4829663C">
      <w:pPr>
        <w:pStyle w:val="4"/>
        <w:bidi w:val="0"/>
        <w:rPr>
          <w:rFonts w:hint="default" w:ascii="Times New Roman" w:hAnsi="Times New Roman" w:eastAsia="宋体" w:cs="Times New Roman"/>
          <w:color w:val="auto"/>
          <w:sz w:val="24"/>
          <w:szCs w:val="24"/>
          <w:lang w:val="en-US" w:eastAsia="zh-CN"/>
        </w:rPr>
      </w:pPr>
      <w:bookmarkStart w:id="37" w:name="_Toc24475"/>
      <w:r>
        <w:rPr>
          <w:rFonts w:hint="eastAsia" w:ascii="Times New Roman" w:hAnsi="Times New Roman" w:cs="Times New Roman"/>
          <w:color w:val="auto"/>
          <w:sz w:val="24"/>
          <w:szCs w:val="24"/>
          <w:lang w:val="en-US" w:eastAsia="zh-CN"/>
        </w:rPr>
        <w:t>5.4.3</w:t>
      </w:r>
      <w:r>
        <w:rPr>
          <w:rFonts w:hint="default" w:ascii="Times New Roman" w:hAnsi="Times New Roman" w:eastAsia="宋体" w:cs="Times New Roman"/>
          <w:color w:val="auto"/>
          <w:sz w:val="24"/>
          <w:szCs w:val="24"/>
          <w:lang w:val="en-US" w:eastAsia="zh-CN"/>
        </w:rPr>
        <w:t>蓝藻水华应急防控流程</w:t>
      </w:r>
      <w:bookmarkEnd w:id="37"/>
    </w:p>
    <w:p w14:paraId="5FF86411">
      <w:pPr>
        <w:bidi w:val="0"/>
        <w:ind w:firstLine="480" w:firstLineChars="200"/>
        <w:rPr>
          <w:rFonts w:hint="default"/>
          <w:lang w:val="en-US" w:eastAsia="zh-CN"/>
        </w:rPr>
      </w:pPr>
      <w:r>
        <w:rPr>
          <w:rFonts w:hint="eastAsia"/>
          <w:lang w:val="en-US" w:eastAsia="zh-CN"/>
        </w:rPr>
        <w:t>（1）</w:t>
      </w:r>
      <w:r>
        <w:rPr>
          <w:rFonts w:hint="default"/>
          <w:lang w:val="en-US" w:eastAsia="zh-CN"/>
        </w:rPr>
        <w:t>蓝藻水华应急防控流程包括蓝藻水华监测、蓝藻水华分级预警、蓝藻水华应急防控技术、维护管理及效果监测4个部分。</w:t>
      </w:r>
    </w:p>
    <w:p w14:paraId="0DE52EB5">
      <w:pPr>
        <w:bidi w:val="0"/>
        <w:ind w:firstLine="480" w:firstLineChars="200"/>
        <w:rPr>
          <w:rFonts w:hint="default"/>
          <w:lang w:val="en-US" w:eastAsia="zh-CN"/>
        </w:rPr>
      </w:pPr>
      <w:r>
        <w:rPr>
          <w:rFonts w:hint="eastAsia"/>
          <w:lang w:val="en-US" w:eastAsia="zh-CN"/>
        </w:rPr>
        <w:t>（2）</w:t>
      </w:r>
      <w:r>
        <w:rPr>
          <w:rFonts w:hint="default"/>
          <w:lang w:val="en-US" w:eastAsia="zh-CN"/>
        </w:rPr>
        <w:t>蓝藻水华监测包括常规水质指标（水温、pH、溶解氧、电导率、浊度、高锰酸盐指数、氨氮、总磷、总氮、叶绿素a、透明度）、藻种/藻密度、水华面积、藻毒素、土臭素以及2-二甲基异莰醇的监测。</w:t>
      </w:r>
    </w:p>
    <w:p w14:paraId="550706DE">
      <w:pPr>
        <w:bidi w:val="0"/>
        <w:ind w:firstLine="480" w:firstLineChars="200"/>
        <w:rPr>
          <w:rFonts w:hint="default"/>
          <w:lang w:val="en-US" w:eastAsia="zh-CN"/>
        </w:rPr>
      </w:pPr>
      <w:r>
        <w:rPr>
          <w:rFonts w:hint="eastAsia"/>
          <w:lang w:val="en-US" w:eastAsia="zh-CN"/>
        </w:rPr>
        <w:t>（3）</w:t>
      </w:r>
      <w:r>
        <w:rPr>
          <w:rFonts w:hint="default"/>
          <w:lang w:val="en-US" w:eastAsia="zh-CN"/>
        </w:rPr>
        <w:t>蓝藻水华分级预警要基于藻密度和水华面积比例评价。</w:t>
      </w:r>
    </w:p>
    <w:p w14:paraId="3C007C54">
      <w:pPr>
        <w:bidi w:val="0"/>
        <w:ind w:firstLine="480" w:firstLineChars="200"/>
        <w:rPr>
          <w:rFonts w:hint="default"/>
          <w:lang w:val="en-US" w:eastAsia="zh-CN"/>
        </w:rPr>
      </w:pPr>
      <w:r>
        <w:rPr>
          <w:rFonts w:hint="eastAsia"/>
          <w:lang w:val="en-US" w:eastAsia="zh-CN"/>
        </w:rPr>
        <w:t>（4）</w:t>
      </w:r>
      <w:r>
        <w:rPr>
          <w:rFonts w:hint="default"/>
          <w:lang w:val="en-US" w:eastAsia="zh-CN"/>
        </w:rPr>
        <w:t>蓝藻水华应急防控技术包括曝气推流、超声控藻、压力控藻、人工（机械）打捞、水力调度等物理控藻，杀藻剂和絮凝剂等化学控藻，以及非经典生物控藻。</w:t>
      </w:r>
    </w:p>
    <w:p w14:paraId="2C3FEBA0">
      <w:pPr>
        <w:bidi w:val="0"/>
        <w:ind w:firstLine="480" w:firstLineChars="200"/>
        <w:rPr>
          <w:rFonts w:hint="default"/>
          <w:lang w:val="en-US" w:eastAsia="zh-CN"/>
        </w:rPr>
      </w:pPr>
      <w:r>
        <w:rPr>
          <w:rFonts w:hint="eastAsia"/>
          <w:lang w:val="en-US" w:eastAsia="zh-CN"/>
        </w:rPr>
        <w:t>（5）</w:t>
      </w:r>
      <w:r>
        <w:rPr>
          <w:rFonts w:hint="default"/>
          <w:lang w:val="en-US" w:eastAsia="zh-CN"/>
        </w:rPr>
        <w:t>维护管理及效果监测包括设备工程维护、水体水质及生物指标监测等。</w:t>
      </w:r>
    </w:p>
    <w:p w14:paraId="06DDE025">
      <w:pPr>
        <w:pStyle w:val="3"/>
        <w:bidi w:val="0"/>
        <w:rPr>
          <w:rFonts w:hint="default" w:ascii="Times New Roman" w:hAnsi="Times New Roman" w:eastAsia="宋体" w:cs="Times New Roman"/>
          <w:color w:val="auto"/>
          <w:sz w:val="24"/>
          <w:szCs w:val="24"/>
          <w:lang w:val="en-US" w:eastAsia="zh-CN"/>
        </w:rPr>
      </w:pPr>
      <w:bookmarkStart w:id="38" w:name="_Toc27898"/>
      <w:bookmarkStart w:id="39" w:name="_Toc26189"/>
      <w:bookmarkStart w:id="40" w:name="_Toc21390"/>
      <w:r>
        <w:rPr>
          <w:rFonts w:hint="eastAsia" w:ascii="Times New Roman" w:hAnsi="Times New Roman" w:eastAsia="宋体" w:cs="Times New Roman"/>
          <w:color w:val="auto"/>
          <w:sz w:val="24"/>
          <w:szCs w:val="24"/>
          <w:lang w:val="en-US" w:eastAsia="zh-CN"/>
        </w:rPr>
        <w:t>5.5</w:t>
      </w:r>
      <w:r>
        <w:rPr>
          <w:rFonts w:hint="default" w:ascii="Times New Roman" w:hAnsi="Times New Roman" w:eastAsia="宋体" w:cs="Times New Roman"/>
          <w:color w:val="auto"/>
          <w:sz w:val="24"/>
          <w:szCs w:val="24"/>
          <w:lang w:val="en-US" w:eastAsia="zh-CN"/>
        </w:rPr>
        <w:t>蓝藻水华监测</w:t>
      </w:r>
      <w:bookmarkEnd w:id="38"/>
      <w:bookmarkEnd w:id="39"/>
      <w:bookmarkEnd w:id="40"/>
    </w:p>
    <w:p w14:paraId="49F5E2DE">
      <w:pPr>
        <w:bidi w:val="0"/>
        <w:ind w:firstLine="480" w:firstLineChars="200"/>
        <w:rPr>
          <w:rFonts w:hint="default"/>
          <w:lang w:val="en-US" w:eastAsia="zh-CN"/>
        </w:rPr>
      </w:pPr>
      <w:r>
        <w:rPr>
          <w:rFonts w:hint="default"/>
          <w:lang w:val="en-US" w:eastAsia="zh-CN"/>
        </w:rPr>
        <w:t>饮用水水源地蓝藻水华遥感监测方法和地面监测方法参照HJ 1098，藻毒素-MCLR含量测定方法参照GBT 20466，土臭素和2-二甲基异莰醇测定方法参照GB/T 32470。常规水质指标参照水和废水监测方法（第四版增补版）。</w:t>
      </w:r>
    </w:p>
    <w:p w14:paraId="46D077D4">
      <w:pPr>
        <w:pStyle w:val="3"/>
        <w:bidi w:val="0"/>
        <w:rPr>
          <w:rFonts w:hint="default" w:ascii="Times New Roman" w:hAnsi="Times New Roman" w:eastAsia="宋体" w:cs="Times New Roman"/>
          <w:color w:val="auto"/>
          <w:sz w:val="24"/>
          <w:szCs w:val="24"/>
          <w:lang w:val="en-US" w:eastAsia="zh-CN"/>
        </w:rPr>
      </w:pPr>
      <w:bookmarkStart w:id="41" w:name="_Toc11609"/>
      <w:bookmarkStart w:id="42" w:name="_Toc14574"/>
      <w:bookmarkStart w:id="43" w:name="_Toc29415"/>
      <w:r>
        <w:rPr>
          <w:rFonts w:hint="eastAsia" w:ascii="Times New Roman" w:hAnsi="Times New Roman" w:eastAsia="宋体" w:cs="Times New Roman"/>
          <w:color w:val="auto"/>
          <w:sz w:val="24"/>
          <w:szCs w:val="24"/>
          <w:lang w:val="en-US" w:eastAsia="zh-CN"/>
        </w:rPr>
        <w:t>5.6</w:t>
      </w:r>
      <w:r>
        <w:rPr>
          <w:rFonts w:hint="default" w:ascii="Times New Roman" w:hAnsi="Times New Roman" w:eastAsia="宋体" w:cs="Times New Roman"/>
          <w:color w:val="auto"/>
          <w:sz w:val="24"/>
          <w:szCs w:val="24"/>
          <w:lang w:val="en-US" w:eastAsia="zh-CN"/>
        </w:rPr>
        <w:t>蓝藻水华分级预警</w:t>
      </w:r>
      <w:bookmarkEnd w:id="41"/>
      <w:bookmarkEnd w:id="42"/>
      <w:bookmarkEnd w:id="43"/>
    </w:p>
    <w:p w14:paraId="1CA33150">
      <w:pPr>
        <w:pStyle w:val="4"/>
        <w:bidi w:val="0"/>
        <w:rPr>
          <w:rFonts w:hint="default"/>
          <w:lang w:val="en-US" w:eastAsia="zh-CN"/>
        </w:rPr>
      </w:pPr>
      <w:bookmarkStart w:id="44" w:name="_Toc20854"/>
      <w:r>
        <w:rPr>
          <w:rFonts w:hint="eastAsia"/>
          <w:lang w:val="en-US" w:eastAsia="zh-CN"/>
        </w:rPr>
        <w:t>5.6.1</w:t>
      </w:r>
      <w:r>
        <w:rPr>
          <w:rFonts w:hint="default"/>
          <w:lang w:val="en-US" w:eastAsia="zh-CN"/>
        </w:rPr>
        <w:t>基于藻密度评价的水华分级</w:t>
      </w:r>
      <w:bookmarkEnd w:id="44"/>
    </w:p>
    <w:p w14:paraId="53561D60">
      <w:pPr>
        <w:bidi w:val="0"/>
        <w:ind w:firstLine="480" w:firstLineChars="200"/>
        <w:rPr>
          <w:rFonts w:hint="default"/>
          <w:lang w:val="en-US" w:eastAsia="zh-CN"/>
        </w:rPr>
      </w:pPr>
      <w:r>
        <w:rPr>
          <w:rFonts w:hint="default"/>
          <w:lang w:val="en-US" w:eastAsia="zh-CN"/>
        </w:rPr>
        <w:t>引用HJ 1098-2020中基于藻密度评价的水华程度分级标准，详见表</w:t>
      </w:r>
      <w:r>
        <w:rPr>
          <w:rFonts w:hint="eastAsia"/>
          <w:lang w:val="en-US" w:eastAsia="zh-CN"/>
        </w:rPr>
        <w:t>5-</w:t>
      </w:r>
      <w:r>
        <w:rPr>
          <w:rFonts w:hint="default"/>
          <w:lang w:val="en-US" w:eastAsia="zh-CN"/>
        </w:rPr>
        <w:t>1。</w:t>
      </w:r>
    </w:p>
    <w:p w14:paraId="5A1E2547">
      <w:pPr>
        <w:pStyle w:val="14"/>
        <w:bidi w:val="0"/>
        <w:rPr>
          <w:rFonts w:hint="default"/>
          <w:lang w:val="en-US" w:eastAsia="zh-CN"/>
        </w:rPr>
      </w:pPr>
      <w:r>
        <w:rPr>
          <w:rFonts w:hint="default"/>
          <w:lang w:val="en-US" w:eastAsia="zh-CN"/>
        </w:rPr>
        <w:t>表</w:t>
      </w:r>
      <w:r>
        <w:rPr>
          <w:rFonts w:hint="eastAsia"/>
          <w:lang w:val="en-US" w:eastAsia="zh-CN"/>
        </w:rPr>
        <w:t>5-</w:t>
      </w:r>
      <w:r>
        <w:rPr>
          <w:rFonts w:hint="default"/>
          <w:lang w:val="en-US" w:eastAsia="zh-CN"/>
        </w:rPr>
        <w:t>1 基于藻密度评价的水华程度分级标准</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21"/>
        <w:gridCol w:w="2018"/>
        <w:gridCol w:w="1205"/>
        <w:gridCol w:w="3578"/>
      </w:tblGrid>
      <w:tr w14:paraId="49533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010" w:type="pct"/>
            <w:tcBorders>
              <w:top w:val="single" w:color="000000" w:sz="4" w:space="0"/>
              <w:left w:val="single" w:color="000000" w:sz="4" w:space="0"/>
              <w:bottom w:val="single" w:color="000000" w:sz="4" w:space="0"/>
              <w:right w:val="single" w:color="000000" w:sz="4" w:space="0"/>
            </w:tcBorders>
            <w:noWrap w:val="0"/>
            <w:vAlign w:val="center"/>
          </w:tcPr>
          <w:p w14:paraId="500DDB35">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水华程度级别</w:t>
            </w:r>
          </w:p>
        </w:tc>
        <w:tc>
          <w:tcPr>
            <w:tcW w:w="1184" w:type="pct"/>
            <w:tcBorders>
              <w:top w:val="single" w:color="000000" w:sz="4" w:space="0"/>
              <w:left w:val="single" w:color="000000" w:sz="4" w:space="0"/>
              <w:bottom w:val="single" w:color="000000" w:sz="4" w:space="0"/>
              <w:right w:val="single" w:color="000000" w:sz="4" w:space="0"/>
            </w:tcBorders>
            <w:noWrap w:val="0"/>
            <w:vAlign w:val="center"/>
          </w:tcPr>
          <w:p w14:paraId="1CA9B6F1">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藻密度D（个/L）</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01ED681">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水华特征</w:t>
            </w:r>
          </w:p>
        </w:tc>
        <w:tc>
          <w:tcPr>
            <w:tcW w:w="2096" w:type="pct"/>
            <w:tcBorders>
              <w:top w:val="single" w:color="000000" w:sz="4" w:space="0"/>
              <w:left w:val="single" w:color="000000" w:sz="4" w:space="0"/>
              <w:bottom w:val="single" w:color="000000" w:sz="4" w:space="0"/>
              <w:right w:val="single" w:color="000000" w:sz="4" w:space="0"/>
            </w:tcBorders>
            <w:noWrap w:val="0"/>
            <w:vAlign w:val="center"/>
          </w:tcPr>
          <w:p w14:paraId="5C6B4643">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表征现象参照</w:t>
            </w:r>
          </w:p>
        </w:tc>
      </w:tr>
      <w:tr w14:paraId="19AAE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010" w:type="pct"/>
            <w:tcBorders>
              <w:top w:val="single" w:color="000000" w:sz="4" w:space="0"/>
              <w:left w:val="single" w:color="000000" w:sz="4" w:space="0"/>
              <w:bottom w:val="single" w:color="000000" w:sz="4" w:space="0"/>
              <w:right w:val="single" w:color="000000" w:sz="4" w:space="0"/>
            </w:tcBorders>
            <w:noWrap w:val="0"/>
            <w:vAlign w:val="center"/>
          </w:tcPr>
          <w:p w14:paraId="574DF3F4">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Ⅰ</w:t>
            </w:r>
          </w:p>
        </w:tc>
        <w:tc>
          <w:tcPr>
            <w:tcW w:w="1184" w:type="pct"/>
            <w:tcBorders>
              <w:top w:val="single" w:color="000000" w:sz="4" w:space="0"/>
              <w:left w:val="single" w:color="000000" w:sz="4" w:space="0"/>
              <w:bottom w:val="single" w:color="000000" w:sz="4" w:space="0"/>
              <w:right w:val="single" w:color="000000" w:sz="4" w:space="0"/>
            </w:tcBorders>
            <w:noWrap w:val="0"/>
            <w:vAlign w:val="center"/>
          </w:tcPr>
          <w:p w14:paraId="0720AE1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1"/>
                <w:rFonts w:hint="default" w:ascii="Times New Roman" w:hAnsi="Times New Roman" w:eastAsia="宋体" w:cs="Times New Roman"/>
                <w:color w:val="auto"/>
                <w:sz w:val="24"/>
                <w:szCs w:val="24"/>
                <w:lang w:val="en-US" w:eastAsia="zh-CN" w:bidi="ar"/>
              </w:rPr>
              <w:t>D＜2×10</w:t>
            </w:r>
            <w:r>
              <w:rPr>
                <w:rStyle w:val="22"/>
                <w:rFonts w:hint="default" w:ascii="Times New Roman" w:hAnsi="Times New Roman" w:eastAsia="宋体" w:cs="Times New Roman"/>
                <w:color w:val="auto"/>
                <w:sz w:val="24"/>
                <w:szCs w:val="24"/>
                <w:lang w:val="en-US" w:eastAsia="zh-CN" w:bidi="ar"/>
              </w:rPr>
              <w:t>6</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7D70301E">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无水华</w:t>
            </w:r>
          </w:p>
        </w:tc>
        <w:tc>
          <w:tcPr>
            <w:tcW w:w="2096" w:type="pct"/>
            <w:tcBorders>
              <w:top w:val="single" w:color="000000" w:sz="4" w:space="0"/>
              <w:left w:val="single" w:color="000000" w:sz="4" w:space="0"/>
              <w:bottom w:val="single" w:color="000000" w:sz="4" w:space="0"/>
              <w:right w:val="single" w:color="000000" w:sz="4" w:space="0"/>
            </w:tcBorders>
            <w:noWrap w:val="0"/>
            <w:vAlign w:val="center"/>
          </w:tcPr>
          <w:p w14:paraId="55886AA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水面无藻类聚集，水中基本识别不出藻类颗粒。</w:t>
            </w:r>
          </w:p>
        </w:tc>
      </w:tr>
      <w:tr w14:paraId="13B22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010" w:type="pct"/>
            <w:tcBorders>
              <w:top w:val="single" w:color="000000" w:sz="4" w:space="0"/>
              <w:left w:val="single" w:color="000000" w:sz="4" w:space="0"/>
              <w:bottom w:val="single" w:color="000000" w:sz="4" w:space="0"/>
              <w:right w:val="single" w:color="000000" w:sz="4" w:space="0"/>
            </w:tcBorders>
            <w:noWrap w:val="0"/>
            <w:vAlign w:val="center"/>
          </w:tcPr>
          <w:p w14:paraId="7B67DB3F">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Ⅱ</w:t>
            </w:r>
          </w:p>
        </w:tc>
        <w:tc>
          <w:tcPr>
            <w:tcW w:w="1184" w:type="pct"/>
            <w:tcBorders>
              <w:top w:val="single" w:color="000000" w:sz="4" w:space="0"/>
              <w:left w:val="single" w:color="000000" w:sz="4" w:space="0"/>
              <w:bottom w:val="single" w:color="000000" w:sz="4" w:space="0"/>
              <w:right w:val="single" w:color="000000" w:sz="4" w:space="0"/>
            </w:tcBorders>
            <w:noWrap w:val="0"/>
            <w:vAlign w:val="center"/>
          </w:tcPr>
          <w:p w14:paraId="6B1FFD63">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1"/>
                <w:rFonts w:hint="default" w:ascii="Times New Roman" w:hAnsi="Times New Roman" w:eastAsia="宋体" w:cs="Times New Roman"/>
                <w:color w:val="auto"/>
                <w:sz w:val="24"/>
                <w:szCs w:val="24"/>
                <w:lang w:val="en-US" w:eastAsia="zh-CN" w:bidi="ar"/>
              </w:rPr>
              <w:t>2×10</w:t>
            </w:r>
            <w:r>
              <w:rPr>
                <w:rStyle w:val="22"/>
                <w:rFonts w:hint="default" w:ascii="Times New Roman" w:hAnsi="Times New Roman" w:eastAsia="宋体" w:cs="Times New Roman"/>
                <w:color w:val="auto"/>
                <w:sz w:val="24"/>
                <w:szCs w:val="24"/>
                <w:lang w:val="en-US" w:eastAsia="zh-CN" w:bidi="ar"/>
              </w:rPr>
              <w:t>6</w:t>
            </w:r>
            <w:r>
              <w:rPr>
                <w:rStyle w:val="21"/>
                <w:rFonts w:hint="default" w:ascii="Times New Roman" w:hAnsi="Times New Roman" w:eastAsia="宋体" w:cs="Times New Roman"/>
                <w:color w:val="auto"/>
                <w:sz w:val="24"/>
                <w:szCs w:val="24"/>
                <w:lang w:val="en-US" w:eastAsia="zh-CN" w:bidi="ar"/>
              </w:rPr>
              <w:t>≤D＜1×10</w:t>
            </w:r>
            <w:r>
              <w:rPr>
                <w:rStyle w:val="22"/>
                <w:rFonts w:hint="default" w:ascii="Times New Roman" w:hAnsi="Times New Roman" w:eastAsia="宋体" w:cs="Times New Roman"/>
                <w:color w:val="auto"/>
                <w:sz w:val="24"/>
                <w:szCs w:val="24"/>
                <w:lang w:val="en-US" w:eastAsia="zh-CN" w:bidi="ar"/>
              </w:rPr>
              <w:t>7</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69E6D77">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无明显水华</w:t>
            </w:r>
          </w:p>
        </w:tc>
        <w:tc>
          <w:tcPr>
            <w:tcW w:w="2096" w:type="pct"/>
            <w:tcBorders>
              <w:top w:val="single" w:color="000000" w:sz="4" w:space="0"/>
              <w:left w:val="single" w:color="000000" w:sz="4" w:space="0"/>
              <w:bottom w:val="single" w:color="000000" w:sz="4" w:space="0"/>
              <w:right w:val="single" w:color="000000" w:sz="4" w:space="0"/>
            </w:tcBorders>
            <w:noWrap w:val="0"/>
            <w:vAlign w:val="center"/>
          </w:tcPr>
          <w:p w14:paraId="151506C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水面有藻类零星聚集；或能够辨别水中有少量藻类。</w:t>
            </w:r>
          </w:p>
        </w:tc>
      </w:tr>
      <w:tr w14:paraId="4C970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010" w:type="pct"/>
            <w:tcBorders>
              <w:top w:val="single" w:color="000000" w:sz="4" w:space="0"/>
              <w:left w:val="single" w:color="000000" w:sz="4" w:space="0"/>
              <w:bottom w:val="single" w:color="000000" w:sz="4" w:space="0"/>
              <w:right w:val="single" w:color="000000" w:sz="4" w:space="0"/>
            </w:tcBorders>
            <w:noWrap w:val="0"/>
            <w:vAlign w:val="center"/>
          </w:tcPr>
          <w:p w14:paraId="2DF6814F">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Ⅲ</w:t>
            </w:r>
          </w:p>
        </w:tc>
        <w:tc>
          <w:tcPr>
            <w:tcW w:w="1184" w:type="pct"/>
            <w:tcBorders>
              <w:top w:val="single" w:color="000000" w:sz="4" w:space="0"/>
              <w:left w:val="single" w:color="000000" w:sz="4" w:space="0"/>
              <w:bottom w:val="single" w:color="000000" w:sz="4" w:space="0"/>
              <w:right w:val="single" w:color="000000" w:sz="4" w:space="0"/>
            </w:tcBorders>
            <w:noWrap w:val="0"/>
            <w:vAlign w:val="center"/>
          </w:tcPr>
          <w:p w14:paraId="1CA53F0F">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1"/>
                <w:rFonts w:hint="default" w:ascii="Times New Roman" w:hAnsi="Times New Roman" w:eastAsia="宋体" w:cs="Times New Roman"/>
                <w:color w:val="auto"/>
                <w:sz w:val="24"/>
                <w:szCs w:val="24"/>
                <w:lang w:val="en-US" w:eastAsia="zh-CN" w:bidi="ar"/>
              </w:rPr>
              <w:t>1×10</w:t>
            </w:r>
            <w:r>
              <w:rPr>
                <w:rStyle w:val="22"/>
                <w:rFonts w:hint="default" w:ascii="Times New Roman" w:hAnsi="Times New Roman" w:eastAsia="宋体" w:cs="Times New Roman"/>
                <w:color w:val="auto"/>
                <w:sz w:val="24"/>
                <w:szCs w:val="24"/>
                <w:lang w:val="en-US" w:eastAsia="zh-CN" w:bidi="ar"/>
              </w:rPr>
              <w:t>7</w:t>
            </w:r>
            <w:r>
              <w:rPr>
                <w:rStyle w:val="21"/>
                <w:rFonts w:hint="default" w:ascii="Times New Roman" w:hAnsi="Times New Roman" w:eastAsia="宋体" w:cs="Times New Roman"/>
                <w:color w:val="auto"/>
                <w:sz w:val="24"/>
                <w:szCs w:val="24"/>
                <w:lang w:val="en-US" w:eastAsia="zh-CN" w:bidi="ar"/>
              </w:rPr>
              <w:t>≤D＜5×10</w:t>
            </w:r>
            <w:r>
              <w:rPr>
                <w:rStyle w:val="22"/>
                <w:rFonts w:hint="default" w:ascii="Times New Roman" w:hAnsi="Times New Roman" w:eastAsia="宋体" w:cs="Times New Roman"/>
                <w:color w:val="auto"/>
                <w:sz w:val="24"/>
                <w:szCs w:val="24"/>
                <w:lang w:val="en-US" w:eastAsia="zh-CN" w:bidi="ar"/>
              </w:rPr>
              <w:t>7</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AD0CB48">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轻度水华</w:t>
            </w:r>
          </w:p>
        </w:tc>
        <w:tc>
          <w:tcPr>
            <w:tcW w:w="2096" w:type="pct"/>
            <w:tcBorders>
              <w:top w:val="single" w:color="000000" w:sz="4" w:space="0"/>
              <w:left w:val="single" w:color="000000" w:sz="4" w:space="0"/>
              <w:bottom w:val="single" w:color="000000" w:sz="4" w:space="0"/>
              <w:right w:val="single" w:color="000000" w:sz="4" w:space="0"/>
            </w:tcBorders>
            <w:noWrap w:val="0"/>
            <w:vAlign w:val="center"/>
          </w:tcPr>
          <w:p w14:paraId="37137B7C">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水面有藻类聚集成经带状、条带状、斑片状等；或水中可见悬浮的藻类颗粒。</w:t>
            </w:r>
          </w:p>
        </w:tc>
      </w:tr>
      <w:tr w14:paraId="036D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010" w:type="pct"/>
            <w:tcBorders>
              <w:top w:val="single" w:color="000000" w:sz="4" w:space="0"/>
              <w:left w:val="single" w:color="000000" w:sz="4" w:space="0"/>
              <w:bottom w:val="single" w:color="000000" w:sz="4" w:space="0"/>
              <w:right w:val="single" w:color="000000" w:sz="4" w:space="0"/>
            </w:tcBorders>
            <w:noWrap w:val="0"/>
            <w:vAlign w:val="center"/>
          </w:tcPr>
          <w:p w14:paraId="746F4C78">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Ⅳ</w:t>
            </w:r>
          </w:p>
        </w:tc>
        <w:tc>
          <w:tcPr>
            <w:tcW w:w="1184" w:type="pct"/>
            <w:tcBorders>
              <w:top w:val="single" w:color="000000" w:sz="4" w:space="0"/>
              <w:left w:val="single" w:color="000000" w:sz="4" w:space="0"/>
              <w:bottom w:val="single" w:color="000000" w:sz="4" w:space="0"/>
              <w:right w:val="single" w:color="000000" w:sz="4" w:space="0"/>
            </w:tcBorders>
            <w:noWrap w:val="0"/>
            <w:vAlign w:val="center"/>
          </w:tcPr>
          <w:p w14:paraId="6005034D">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1"/>
                <w:rFonts w:hint="default" w:ascii="Times New Roman" w:hAnsi="Times New Roman" w:eastAsia="宋体" w:cs="Times New Roman"/>
                <w:color w:val="auto"/>
                <w:sz w:val="24"/>
                <w:szCs w:val="24"/>
                <w:lang w:val="en-US" w:eastAsia="zh-CN" w:bidi="ar"/>
              </w:rPr>
              <w:t>5×10</w:t>
            </w:r>
            <w:r>
              <w:rPr>
                <w:rStyle w:val="22"/>
                <w:rFonts w:hint="default" w:ascii="Times New Roman" w:hAnsi="Times New Roman" w:eastAsia="宋体" w:cs="Times New Roman"/>
                <w:color w:val="auto"/>
                <w:sz w:val="24"/>
                <w:szCs w:val="24"/>
                <w:lang w:val="en-US" w:eastAsia="zh-CN" w:bidi="ar"/>
              </w:rPr>
              <w:t>7</w:t>
            </w:r>
            <w:r>
              <w:rPr>
                <w:rStyle w:val="21"/>
                <w:rFonts w:hint="default" w:ascii="Times New Roman" w:hAnsi="Times New Roman" w:eastAsia="宋体" w:cs="Times New Roman"/>
                <w:color w:val="auto"/>
                <w:sz w:val="24"/>
                <w:szCs w:val="24"/>
                <w:lang w:val="en-US" w:eastAsia="zh-CN" w:bidi="ar"/>
              </w:rPr>
              <w:t>≤D＜1×10</w:t>
            </w:r>
            <w:r>
              <w:rPr>
                <w:rStyle w:val="22"/>
                <w:rFonts w:hint="default" w:ascii="Times New Roman" w:hAnsi="Times New Roman" w:eastAsia="宋体" w:cs="Times New Roman"/>
                <w:color w:val="auto"/>
                <w:sz w:val="24"/>
                <w:szCs w:val="24"/>
                <w:lang w:val="en-US" w:eastAsia="zh-CN" w:bidi="ar"/>
              </w:rPr>
              <w:t>8</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1CA0BE7">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中度水华</w:t>
            </w:r>
          </w:p>
        </w:tc>
        <w:tc>
          <w:tcPr>
            <w:tcW w:w="2096" w:type="pct"/>
            <w:tcBorders>
              <w:top w:val="single" w:color="000000" w:sz="4" w:space="0"/>
              <w:left w:val="single" w:color="000000" w:sz="4" w:space="0"/>
              <w:bottom w:val="single" w:color="000000" w:sz="4" w:space="0"/>
              <w:right w:val="single" w:color="000000" w:sz="4" w:space="0"/>
            </w:tcBorders>
            <w:noWrap w:val="0"/>
            <w:vAlign w:val="center"/>
          </w:tcPr>
          <w:p w14:paraId="3A09A2B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水面有藻类聚集，连片漂浮；覆盖部分监测水体；或水中明显可见悬浮的藻类。</w:t>
            </w:r>
          </w:p>
        </w:tc>
      </w:tr>
      <w:tr w14:paraId="51468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010" w:type="pct"/>
            <w:tcBorders>
              <w:top w:val="single" w:color="000000" w:sz="4" w:space="0"/>
              <w:left w:val="single" w:color="000000" w:sz="4" w:space="0"/>
              <w:bottom w:val="single" w:color="000000" w:sz="4" w:space="0"/>
              <w:right w:val="single" w:color="000000" w:sz="4" w:space="0"/>
            </w:tcBorders>
            <w:noWrap w:val="0"/>
            <w:vAlign w:val="center"/>
          </w:tcPr>
          <w:p w14:paraId="05275FBD">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Ⅴ</w:t>
            </w:r>
          </w:p>
        </w:tc>
        <w:tc>
          <w:tcPr>
            <w:tcW w:w="1184" w:type="pct"/>
            <w:tcBorders>
              <w:top w:val="single" w:color="000000" w:sz="4" w:space="0"/>
              <w:left w:val="single" w:color="000000" w:sz="4" w:space="0"/>
              <w:bottom w:val="single" w:color="000000" w:sz="4" w:space="0"/>
              <w:right w:val="single" w:color="000000" w:sz="4" w:space="0"/>
            </w:tcBorders>
            <w:noWrap w:val="0"/>
            <w:vAlign w:val="center"/>
          </w:tcPr>
          <w:p w14:paraId="4EAA1415">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1"/>
                <w:rFonts w:hint="default" w:ascii="Times New Roman" w:hAnsi="Times New Roman" w:eastAsia="宋体" w:cs="Times New Roman"/>
                <w:color w:val="auto"/>
                <w:sz w:val="24"/>
                <w:szCs w:val="24"/>
                <w:lang w:val="en-US" w:eastAsia="zh-CN" w:bidi="ar"/>
              </w:rPr>
              <w:t>D≥1×10</w:t>
            </w:r>
            <w:r>
              <w:rPr>
                <w:rStyle w:val="22"/>
                <w:rFonts w:hint="default" w:ascii="Times New Roman" w:hAnsi="Times New Roman" w:eastAsia="宋体" w:cs="Times New Roman"/>
                <w:color w:val="auto"/>
                <w:sz w:val="24"/>
                <w:szCs w:val="24"/>
                <w:lang w:val="en-US" w:eastAsia="zh-CN" w:bidi="ar"/>
              </w:rPr>
              <w:t>8</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4C394C6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重度水华</w:t>
            </w:r>
          </w:p>
        </w:tc>
        <w:tc>
          <w:tcPr>
            <w:tcW w:w="2096" w:type="pct"/>
            <w:tcBorders>
              <w:top w:val="single" w:color="000000" w:sz="4" w:space="0"/>
              <w:left w:val="single" w:color="000000" w:sz="4" w:space="0"/>
              <w:bottom w:val="single" w:color="000000" w:sz="4" w:space="0"/>
              <w:right w:val="single" w:color="000000" w:sz="4" w:space="0"/>
            </w:tcBorders>
            <w:noWrap w:val="0"/>
            <w:vAlign w:val="center"/>
          </w:tcPr>
          <w:p w14:paraId="708E8296">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水面有藻类聚集，连片漂浮；覆盖大部分监测水体；或水中明显可见悬浮的藻类。</w:t>
            </w:r>
          </w:p>
        </w:tc>
      </w:tr>
      <w:tr w14:paraId="149FB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000" w:type="pct"/>
            <w:gridSpan w:val="4"/>
            <w:tcBorders>
              <w:top w:val="single" w:color="000000" w:sz="4" w:space="0"/>
              <w:left w:val="single" w:color="000000" w:sz="4" w:space="0"/>
              <w:bottom w:val="single" w:color="000000" w:sz="4" w:space="0"/>
              <w:right w:val="single" w:color="000000" w:sz="4" w:space="0"/>
            </w:tcBorders>
            <w:noWrap w:val="0"/>
            <w:vAlign w:val="center"/>
          </w:tcPr>
          <w:p w14:paraId="2EE0E497">
            <w:pPr>
              <w:keepNext w:val="0"/>
              <w:keepLines w:val="0"/>
              <w:pageBreakBefore w:val="0"/>
              <w:widowControl/>
              <w:suppressLineNumbers w:val="0"/>
              <w:kinsoku/>
              <w:wordWrap/>
              <w:overflowPunct/>
              <w:topLinePunct w:val="0"/>
              <w:autoSpaceDE/>
              <w:autoSpaceDN/>
              <w:bidi w:val="0"/>
              <w:adjustRightInd/>
              <w:snapToGrid w:val="0"/>
              <w:spacing w:line="560" w:lineRule="exact"/>
              <w:ind w:firstLine="480" w:firstLineChars="20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表</w:t>
            </w:r>
            <w:r>
              <w:rPr>
                <w:rFonts w:hint="eastAsia" w:ascii="Times New Roman" w:hAnsi="Times New Roman" w:eastAsia="宋体" w:cs="Times New Roman"/>
                <w:i w:val="0"/>
                <w:iCs w:val="0"/>
                <w:color w:val="auto"/>
                <w:kern w:val="0"/>
                <w:sz w:val="24"/>
                <w:szCs w:val="24"/>
                <w:u w:val="none"/>
                <w:lang w:val="en-US" w:eastAsia="zh-CN" w:bidi="ar"/>
              </w:rPr>
              <w:t>5-</w:t>
            </w:r>
            <w:r>
              <w:rPr>
                <w:rFonts w:hint="default" w:ascii="Times New Roman" w:hAnsi="Times New Roman" w:eastAsia="宋体" w:cs="Times New Roman"/>
                <w:i w:val="0"/>
                <w:iCs w:val="0"/>
                <w:color w:val="auto"/>
                <w:kern w:val="0"/>
                <w:sz w:val="24"/>
                <w:szCs w:val="24"/>
                <w:u w:val="none"/>
                <w:lang w:val="en-US" w:eastAsia="zh-CN" w:bidi="ar"/>
              </w:rPr>
              <w:t>1既适用于单个监测点位所代表水体的水华程度评价,也适用于部分或全部水体的水华程度评价。但在对部分或全部水体进行评价时。应以足够代表相应水体状况的监测点位和监测数据为前提。在此基础上,根据不同级别水华程度的点位比例来判定这一监测水体的水华程度。具体评价方法如下：</w:t>
            </w:r>
          </w:p>
          <w:p w14:paraId="325A8CE6">
            <w:pPr>
              <w:keepNext w:val="0"/>
              <w:keepLines w:val="0"/>
              <w:pageBreakBefore w:val="0"/>
              <w:widowControl/>
              <w:numPr>
                <w:ilvl w:val="0"/>
                <w:numId w:val="2"/>
              </w:numPr>
              <w:suppressLineNumbers w:val="0"/>
              <w:kinsoku/>
              <w:wordWrap/>
              <w:overflowPunct/>
              <w:topLinePunct w:val="0"/>
              <w:autoSpaceDE/>
              <w:autoSpaceDN/>
              <w:bidi w:val="0"/>
              <w:adjustRightInd/>
              <w:snapToGrid w:val="0"/>
              <w:spacing w:line="560" w:lineRule="exact"/>
              <w:ind w:firstLine="480" w:firstLineChars="200"/>
              <w:jc w:val="both"/>
              <w:textAlignment w:val="center"/>
              <w:rPr>
                <w:rStyle w:val="21"/>
                <w:rFonts w:hint="default" w:ascii="Times New Roman" w:hAnsi="Times New Roman" w:eastAsia="宋体" w:cs="Times New Roman"/>
                <w:color w:val="auto"/>
                <w:sz w:val="24"/>
                <w:szCs w:val="24"/>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当藻密度＜2.0×10</w:t>
            </w:r>
            <w:r>
              <w:rPr>
                <w:rStyle w:val="22"/>
                <w:rFonts w:hint="default" w:ascii="Times New Roman" w:hAnsi="Times New Roman" w:eastAsia="宋体" w:cs="Times New Roman"/>
                <w:color w:val="auto"/>
                <w:sz w:val="24"/>
                <w:szCs w:val="24"/>
                <w:lang w:val="en-US" w:eastAsia="zh-CN" w:bidi="ar"/>
              </w:rPr>
              <w:t>6</w:t>
            </w:r>
            <w:r>
              <w:rPr>
                <w:rStyle w:val="21"/>
                <w:rFonts w:hint="default" w:ascii="Times New Roman" w:hAnsi="Times New Roman" w:eastAsia="宋体" w:cs="Times New Roman"/>
                <w:color w:val="auto"/>
                <w:sz w:val="24"/>
                <w:szCs w:val="24"/>
                <w:lang w:val="en-US" w:eastAsia="zh-CN" w:bidi="ar"/>
              </w:rPr>
              <w:t>个/L的监测点位占全部监测点位的比例高于95%时,判定监测水域水华程度为“I级”；</w:t>
            </w:r>
          </w:p>
          <w:p w14:paraId="3BAA1CEF">
            <w:pPr>
              <w:keepNext w:val="0"/>
              <w:keepLines w:val="0"/>
              <w:pageBreakBefore w:val="0"/>
              <w:widowControl/>
              <w:numPr>
                <w:ilvl w:val="0"/>
                <w:numId w:val="2"/>
              </w:numPr>
              <w:suppressLineNumbers w:val="0"/>
              <w:kinsoku/>
              <w:wordWrap/>
              <w:overflowPunct/>
              <w:topLinePunct w:val="0"/>
              <w:autoSpaceDE/>
              <w:autoSpaceDN/>
              <w:bidi w:val="0"/>
              <w:adjustRightInd/>
              <w:snapToGrid w:val="0"/>
              <w:spacing w:line="560" w:lineRule="exact"/>
              <w:ind w:firstLine="480" w:firstLineChars="200"/>
              <w:jc w:val="both"/>
              <w:textAlignment w:val="center"/>
              <w:rPr>
                <w:rFonts w:hint="default" w:ascii="Times New Roman" w:hAnsi="Times New Roman" w:eastAsia="宋体" w:cs="Times New Roman"/>
                <w:i w:val="0"/>
                <w:iCs w:val="0"/>
                <w:color w:val="auto"/>
                <w:sz w:val="24"/>
                <w:szCs w:val="24"/>
                <w:u w:val="none"/>
              </w:rPr>
            </w:pPr>
            <w:r>
              <w:rPr>
                <w:rStyle w:val="23"/>
                <w:rFonts w:hint="default" w:ascii="Times New Roman" w:hAnsi="Times New Roman" w:eastAsia="宋体" w:cs="Times New Roman"/>
                <w:color w:val="auto"/>
                <w:sz w:val="24"/>
                <w:szCs w:val="24"/>
                <w:lang w:val="en-US" w:eastAsia="zh-CN" w:bidi="ar"/>
              </w:rPr>
              <w:t>当藻密度≥2.0×10</w:t>
            </w:r>
            <w:r>
              <w:rPr>
                <w:rStyle w:val="24"/>
                <w:rFonts w:hint="default" w:ascii="Times New Roman" w:hAnsi="Times New Roman" w:eastAsia="宋体" w:cs="Times New Roman"/>
                <w:color w:val="auto"/>
                <w:sz w:val="24"/>
                <w:szCs w:val="24"/>
                <w:lang w:val="en-US" w:eastAsia="zh-CN" w:bidi="ar"/>
              </w:rPr>
              <w:t>6</w:t>
            </w:r>
            <w:r>
              <w:rPr>
                <w:rStyle w:val="23"/>
                <w:rFonts w:hint="default" w:ascii="Times New Roman" w:hAnsi="Times New Roman" w:eastAsia="宋体" w:cs="Times New Roman"/>
                <w:color w:val="auto"/>
                <w:sz w:val="24"/>
                <w:szCs w:val="24"/>
                <w:lang w:val="en-US" w:eastAsia="zh-CN" w:bidi="ar"/>
              </w:rPr>
              <w:t>个/L且属于某一水华程度级别监测点位占全部监测点位的比例高于或等75%时,判定监测水城水华程度为该级别；</w:t>
            </w:r>
          </w:p>
          <w:p w14:paraId="129C45EE">
            <w:pPr>
              <w:keepNext w:val="0"/>
              <w:keepLines w:val="0"/>
              <w:pageBreakBefore w:val="0"/>
              <w:widowControl/>
              <w:numPr>
                <w:ilvl w:val="0"/>
                <w:numId w:val="2"/>
              </w:numPr>
              <w:suppressLineNumbers w:val="0"/>
              <w:kinsoku/>
              <w:wordWrap/>
              <w:overflowPunct/>
              <w:topLinePunct w:val="0"/>
              <w:autoSpaceDE/>
              <w:autoSpaceDN/>
              <w:bidi w:val="0"/>
              <w:adjustRightInd/>
              <w:snapToGrid w:val="0"/>
              <w:spacing w:line="560" w:lineRule="exact"/>
              <w:ind w:firstLine="480" w:firstLineChars="200"/>
              <w:jc w:val="both"/>
              <w:textAlignment w:val="center"/>
              <w:rPr>
                <w:rFonts w:hint="default" w:ascii="Times New Roman" w:hAnsi="Times New Roman" w:eastAsia="宋体" w:cs="Times New Roman"/>
                <w:i w:val="0"/>
                <w:iCs w:val="0"/>
                <w:color w:val="auto"/>
                <w:sz w:val="24"/>
                <w:szCs w:val="24"/>
                <w:u w:val="none"/>
              </w:rPr>
            </w:pPr>
            <w:r>
              <w:rPr>
                <w:rStyle w:val="21"/>
                <w:rFonts w:hint="default" w:ascii="Times New Roman" w:hAnsi="Times New Roman" w:eastAsia="宋体" w:cs="Times New Roman"/>
                <w:color w:val="auto"/>
                <w:sz w:val="24"/>
                <w:szCs w:val="24"/>
                <w:lang w:val="en-US" w:eastAsia="zh-CN" w:bidi="ar"/>
              </w:rPr>
              <w:t>当藻密度属于某一水华程度级别监测点位占全部监测点位的比例低于75%时,则首先计算所有点位藻密度平均值,然后将该值所属水华程度级别判定为监测水体的水华程度。</w:t>
            </w:r>
          </w:p>
        </w:tc>
      </w:tr>
    </w:tbl>
    <w:p w14:paraId="02C39CB6">
      <w:pPr>
        <w:pStyle w:val="4"/>
        <w:bidi w:val="0"/>
        <w:rPr>
          <w:rFonts w:hint="default" w:ascii="Times New Roman" w:hAnsi="Times New Roman" w:cs="Times New Roman"/>
          <w:lang w:val="en-US" w:eastAsia="zh-CN"/>
        </w:rPr>
      </w:pPr>
      <w:bookmarkStart w:id="45" w:name="_Toc5805"/>
      <w:r>
        <w:rPr>
          <w:rFonts w:hint="eastAsia" w:ascii="Times New Roman" w:hAnsi="Times New Roman" w:cs="Times New Roman"/>
          <w:lang w:val="en-US" w:eastAsia="zh-CN"/>
        </w:rPr>
        <w:t>5.6.2</w:t>
      </w:r>
      <w:r>
        <w:rPr>
          <w:rFonts w:hint="default" w:ascii="Times New Roman" w:hAnsi="Times New Roman" w:cs="Times New Roman"/>
          <w:lang w:val="en-US" w:eastAsia="zh-CN"/>
        </w:rPr>
        <w:t>基于水华面积比例评价的水华分级</w:t>
      </w:r>
      <w:bookmarkEnd w:id="45"/>
    </w:p>
    <w:p w14:paraId="5AE3E17A">
      <w:pPr>
        <w:bidi w:val="0"/>
        <w:ind w:firstLine="480" w:firstLineChars="200"/>
        <w:rPr>
          <w:rFonts w:hint="default"/>
          <w:lang w:val="en-US" w:eastAsia="zh-CN"/>
        </w:rPr>
      </w:pPr>
      <w:r>
        <w:rPr>
          <w:rFonts w:hint="default"/>
          <w:lang w:val="en-US" w:eastAsia="zh-CN"/>
        </w:rPr>
        <w:t>引用HJ 1098中基于水华发生面积比例评价的水华程度分级标准，详见表</w:t>
      </w:r>
      <w:r>
        <w:rPr>
          <w:rFonts w:hint="eastAsia"/>
          <w:lang w:val="en-US" w:eastAsia="zh-CN"/>
        </w:rPr>
        <w:t>5-</w:t>
      </w:r>
      <w:r>
        <w:rPr>
          <w:rFonts w:hint="default"/>
          <w:lang w:val="en-US" w:eastAsia="zh-CN"/>
        </w:rPr>
        <w:t>2。</w:t>
      </w:r>
    </w:p>
    <w:p w14:paraId="4AACEEC6">
      <w:pPr>
        <w:pStyle w:val="14"/>
        <w:bidi w:val="0"/>
        <w:rPr>
          <w:rFonts w:hint="default"/>
          <w:lang w:val="en-US" w:eastAsia="zh-CN"/>
        </w:rPr>
      </w:pPr>
      <w:r>
        <w:rPr>
          <w:rFonts w:hint="default"/>
          <w:lang w:val="en-US" w:eastAsia="zh-CN"/>
        </w:rPr>
        <w:t>表</w:t>
      </w:r>
      <w:r>
        <w:rPr>
          <w:rFonts w:hint="eastAsia"/>
          <w:lang w:val="en-US" w:eastAsia="zh-CN"/>
        </w:rPr>
        <w:t>5-</w:t>
      </w:r>
      <w:r>
        <w:rPr>
          <w:rFonts w:hint="default"/>
          <w:lang w:val="en-US" w:eastAsia="zh-CN"/>
        </w:rPr>
        <w:t>2 基于藻密度评价的水华程度分级标准</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1"/>
        <w:gridCol w:w="2250"/>
        <w:gridCol w:w="1214"/>
        <w:gridCol w:w="3307"/>
      </w:tblGrid>
      <w:tr w14:paraId="060B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751" w:type="dxa"/>
            <w:tcBorders>
              <w:top w:val="single" w:color="000000" w:sz="4" w:space="0"/>
              <w:left w:val="single" w:color="000000" w:sz="4" w:space="0"/>
              <w:bottom w:val="single" w:color="000000" w:sz="4" w:space="0"/>
              <w:right w:val="single" w:color="000000" w:sz="4" w:space="0"/>
            </w:tcBorders>
            <w:noWrap w:val="0"/>
            <w:vAlign w:val="center"/>
          </w:tcPr>
          <w:p w14:paraId="485092BD">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水华程度级别</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0038A050">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水华面积比例P(%)</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168D379A">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水华特征</w:t>
            </w:r>
          </w:p>
        </w:tc>
        <w:tc>
          <w:tcPr>
            <w:tcW w:w="3307" w:type="dxa"/>
            <w:tcBorders>
              <w:top w:val="single" w:color="000000" w:sz="4" w:space="0"/>
              <w:left w:val="single" w:color="000000" w:sz="4" w:space="0"/>
              <w:bottom w:val="single" w:color="000000" w:sz="4" w:space="0"/>
              <w:right w:val="single" w:color="000000" w:sz="4" w:space="0"/>
            </w:tcBorders>
            <w:noWrap w:val="0"/>
            <w:vAlign w:val="center"/>
          </w:tcPr>
          <w:p w14:paraId="302C7E7E">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表征现象参照</w:t>
            </w:r>
          </w:p>
        </w:tc>
      </w:tr>
      <w:tr w14:paraId="55151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90F3D03">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Ⅰ</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1AFAC8A1">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0</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3D495885">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无水华</w:t>
            </w:r>
          </w:p>
        </w:tc>
        <w:tc>
          <w:tcPr>
            <w:tcW w:w="3307" w:type="dxa"/>
            <w:tcBorders>
              <w:top w:val="single" w:color="000000" w:sz="4" w:space="0"/>
              <w:left w:val="single" w:color="000000" w:sz="4" w:space="0"/>
              <w:bottom w:val="single" w:color="000000" w:sz="4" w:space="0"/>
              <w:right w:val="single" w:color="000000" w:sz="4" w:space="0"/>
            </w:tcBorders>
            <w:noWrap w:val="0"/>
            <w:vAlign w:val="center"/>
          </w:tcPr>
          <w:p w14:paraId="3D467AF1">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水面未见明显水华；标准假彩色图像中水体呈现蓝色或蓝黑色。</w:t>
            </w:r>
          </w:p>
        </w:tc>
      </w:tr>
      <w:tr w14:paraId="6B547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448DB1B">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Ⅱ</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2C3711EB">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0≤P＜10</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1850E905">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无明显水华</w:t>
            </w:r>
          </w:p>
        </w:tc>
        <w:tc>
          <w:tcPr>
            <w:tcW w:w="3307" w:type="dxa"/>
            <w:tcBorders>
              <w:top w:val="single" w:color="000000" w:sz="4" w:space="0"/>
              <w:left w:val="single" w:color="000000" w:sz="4" w:space="0"/>
              <w:bottom w:val="single" w:color="000000" w:sz="4" w:space="0"/>
              <w:right w:val="single" w:color="000000" w:sz="4" w:space="0"/>
            </w:tcBorders>
            <w:noWrap w:val="0"/>
            <w:vAlign w:val="center"/>
          </w:tcPr>
          <w:p w14:paraId="2FF843C3">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水面出现零星性水华；标准假彩色图像中水体内出现零星绯红色繁状斑块。</w:t>
            </w:r>
          </w:p>
        </w:tc>
      </w:tr>
      <w:tr w14:paraId="0FF1C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51" w:type="dxa"/>
            <w:tcBorders>
              <w:top w:val="single" w:color="000000" w:sz="4" w:space="0"/>
              <w:left w:val="single" w:color="000000" w:sz="4" w:space="0"/>
              <w:bottom w:val="single" w:color="000000" w:sz="4" w:space="0"/>
              <w:right w:val="single" w:color="000000" w:sz="4" w:space="0"/>
            </w:tcBorders>
            <w:noWrap w:val="0"/>
            <w:vAlign w:val="center"/>
          </w:tcPr>
          <w:p w14:paraId="1B7878D8">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Ⅲ</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7CF21AD8">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10≤P＜30</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408651AE">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轻度水华</w:t>
            </w:r>
          </w:p>
        </w:tc>
        <w:tc>
          <w:tcPr>
            <w:tcW w:w="3307" w:type="dxa"/>
            <w:tcBorders>
              <w:top w:val="single" w:color="000000" w:sz="4" w:space="0"/>
              <w:left w:val="single" w:color="000000" w:sz="4" w:space="0"/>
              <w:bottom w:val="single" w:color="000000" w:sz="4" w:space="0"/>
              <w:right w:val="single" w:color="000000" w:sz="4" w:space="0"/>
            </w:tcBorders>
            <w:noWrap w:val="0"/>
            <w:vAlign w:val="center"/>
          </w:tcPr>
          <w:p w14:paraId="054D37BF">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水面出现局部性水华；标准假彩色图像中水体内局部出现绯红色絮状班块。</w:t>
            </w:r>
          </w:p>
        </w:tc>
      </w:tr>
      <w:tr w14:paraId="3E8F1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51" w:type="dxa"/>
            <w:tcBorders>
              <w:top w:val="single" w:color="000000" w:sz="4" w:space="0"/>
              <w:left w:val="single" w:color="000000" w:sz="4" w:space="0"/>
              <w:bottom w:val="single" w:color="000000" w:sz="4" w:space="0"/>
              <w:right w:val="single" w:color="000000" w:sz="4" w:space="0"/>
            </w:tcBorders>
            <w:noWrap w:val="0"/>
            <w:vAlign w:val="center"/>
          </w:tcPr>
          <w:p w14:paraId="4BE9ABF0">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Ⅳ</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7EC34F61">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30≤P≤60</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319D7550">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中度水华</w:t>
            </w:r>
          </w:p>
        </w:tc>
        <w:tc>
          <w:tcPr>
            <w:tcW w:w="3307" w:type="dxa"/>
            <w:tcBorders>
              <w:top w:val="single" w:color="000000" w:sz="4" w:space="0"/>
              <w:left w:val="single" w:color="000000" w:sz="4" w:space="0"/>
              <w:bottom w:val="single" w:color="000000" w:sz="4" w:space="0"/>
              <w:right w:val="single" w:color="000000" w:sz="4" w:space="0"/>
            </w:tcBorders>
            <w:noWrap w:val="0"/>
            <w:vAlign w:val="center"/>
          </w:tcPr>
          <w:p w14:paraId="1091B024">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水面出现区域性水华；标准假彩色图像中水体内出现区域性绯红色絮状斑块。</w:t>
            </w:r>
          </w:p>
        </w:tc>
      </w:tr>
      <w:tr w14:paraId="1BAFA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8904FFC">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Ⅴ</w:t>
            </w:r>
          </w:p>
        </w:tc>
        <w:tc>
          <w:tcPr>
            <w:tcW w:w="2250" w:type="dxa"/>
            <w:tcBorders>
              <w:top w:val="single" w:color="000000" w:sz="4" w:space="0"/>
              <w:left w:val="single" w:color="000000" w:sz="4" w:space="0"/>
              <w:bottom w:val="single" w:color="000000" w:sz="4" w:space="0"/>
              <w:right w:val="single" w:color="000000" w:sz="4" w:space="0"/>
            </w:tcBorders>
            <w:noWrap w:val="0"/>
            <w:vAlign w:val="center"/>
          </w:tcPr>
          <w:p w14:paraId="2C8763A4">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60≤P≤100</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02275D7F">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重度水华</w:t>
            </w:r>
          </w:p>
        </w:tc>
        <w:tc>
          <w:tcPr>
            <w:tcW w:w="3307" w:type="dxa"/>
            <w:tcBorders>
              <w:top w:val="single" w:color="000000" w:sz="4" w:space="0"/>
              <w:left w:val="single" w:color="000000" w:sz="4" w:space="0"/>
              <w:bottom w:val="single" w:color="000000" w:sz="4" w:space="0"/>
              <w:right w:val="single" w:color="000000" w:sz="4" w:space="0"/>
            </w:tcBorders>
            <w:noWrap w:val="0"/>
            <w:vAlign w:val="center"/>
          </w:tcPr>
          <w:p w14:paraId="303C5AFC">
            <w:pPr>
              <w:keepNext w:val="0"/>
              <w:keepLines w:val="0"/>
              <w:pageBreakBefore w:val="0"/>
              <w:widowControl/>
              <w:suppressLineNumbers w:val="0"/>
              <w:kinsoku/>
              <w:wordWrap/>
              <w:overflowPunct/>
              <w:topLinePunct w:val="0"/>
              <w:bidi w:val="0"/>
              <w:adjustRightInd/>
              <w:snapToGrid w:val="0"/>
              <w:spacing w:line="560" w:lineRule="exact"/>
              <w:ind w:left="0" w:leftChars="0" w:firstLine="0" w:firstLineChars="0"/>
              <w:jc w:val="both"/>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水面出现全面性水华；标准假彩色图像中水体内出现大范围绯红色氯状斑块。</w:t>
            </w:r>
          </w:p>
        </w:tc>
      </w:tr>
    </w:tbl>
    <w:p w14:paraId="6787535A">
      <w:pPr>
        <w:pStyle w:val="4"/>
        <w:bidi w:val="0"/>
        <w:rPr>
          <w:rFonts w:hint="default" w:ascii="Times New Roman" w:hAnsi="Times New Roman" w:cs="Times New Roman"/>
          <w:lang w:val="en-US" w:eastAsia="zh-CN"/>
        </w:rPr>
      </w:pPr>
      <w:bookmarkStart w:id="46" w:name="_Toc6324"/>
      <w:r>
        <w:rPr>
          <w:rFonts w:hint="eastAsia" w:ascii="Times New Roman" w:hAnsi="Times New Roman" w:cs="Times New Roman"/>
          <w:lang w:val="en-US" w:eastAsia="zh-CN"/>
        </w:rPr>
        <w:t>5.6.3</w:t>
      </w:r>
      <w:r>
        <w:rPr>
          <w:rFonts w:hint="default" w:ascii="Times New Roman" w:hAnsi="Times New Roman" w:cs="Times New Roman"/>
          <w:lang w:val="en-US" w:eastAsia="zh-CN"/>
        </w:rPr>
        <w:t>预警/响应分级</w:t>
      </w:r>
      <w:bookmarkEnd w:id="46"/>
    </w:p>
    <w:p w14:paraId="02AAF20B">
      <w:pPr>
        <w:bidi w:val="0"/>
        <w:ind w:firstLine="480" w:firstLineChars="200"/>
        <w:rPr>
          <w:rFonts w:hint="default"/>
          <w:lang w:val="en-US" w:eastAsia="zh-CN"/>
        </w:rPr>
      </w:pPr>
      <w:r>
        <w:rPr>
          <w:rFonts w:hint="default"/>
          <w:lang w:val="en-US" w:eastAsia="zh-CN"/>
        </w:rPr>
        <w:t>蓝藻水华预警分级遵循HJ 1098中轻度、中度和重度水华的划分原则，同时考虑蓝藻水华空间分布的差异性，兼顾蓝藻水华应急处置经济、高效、节能、环保的要求。</w:t>
      </w:r>
    </w:p>
    <w:p w14:paraId="40D156E4">
      <w:pPr>
        <w:bidi w:val="0"/>
        <w:rPr>
          <w:rFonts w:hint="default"/>
          <w:lang w:val="en-US" w:eastAsia="zh-CN"/>
        </w:rPr>
      </w:pPr>
      <w:r>
        <w:rPr>
          <w:rFonts w:hint="default"/>
          <w:lang w:val="en-US" w:eastAsia="zh-CN"/>
        </w:rPr>
        <w:t>蓝藻水华预警/响应等级详见表</w:t>
      </w:r>
      <w:r>
        <w:rPr>
          <w:rFonts w:hint="eastAsia"/>
          <w:lang w:val="en-US" w:eastAsia="zh-CN"/>
        </w:rPr>
        <w:t>5-</w:t>
      </w:r>
      <w:r>
        <w:rPr>
          <w:rFonts w:hint="default"/>
          <w:lang w:val="en-US" w:eastAsia="zh-CN"/>
        </w:rPr>
        <w:t>3。</w:t>
      </w:r>
    </w:p>
    <w:p w14:paraId="1242D90D">
      <w:pPr>
        <w:pStyle w:val="14"/>
        <w:bidi w:val="0"/>
        <w:rPr>
          <w:rFonts w:hint="default"/>
          <w:lang w:val="en-US" w:eastAsia="zh-CN"/>
        </w:rPr>
      </w:pPr>
      <w:r>
        <w:rPr>
          <w:rFonts w:hint="default"/>
          <w:lang w:val="en-US" w:eastAsia="zh-CN"/>
        </w:rPr>
        <w:t>表</w:t>
      </w:r>
      <w:r>
        <w:rPr>
          <w:rFonts w:hint="eastAsia"/>
          <w:lang w:val="en-US" w:eastAsia="zh-CN"/>
        </w:rPr>
        <w:t>5-</w:t>
      </w:r>
      <w:r>
        <w:rPr>
          <w:rFonts w:hint="default"/>
          <w:lang w:val="en-US" w:eastAsia="zh-CN"/>
        </w:rPr>
        <w:t>3 蓝藻水华预警/响应分级</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365"/>
        <w:gridCol w:w="1467"/>
        <w:gridCol w:w="2052"/>
        <w:gridCol w:w="2352"/>
      </w:tblGrid>
      <w:tr w14:paraId="0135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1286" w:type="dxa"/>
            <w:vMerge w:val="restart"/>
            <w:noWrap w:val="0"/>
            <w:vAlign w:val="center"/>
          </w:tcPr>
          <w:p w14:paraId="33A073B2">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sz w:val="24"/>
                <w:szCs w:val="24"/>
                <w:u w:val="none"/>
              </w:rPr>
            </w:pPr>
            <w:r>
              <w:rPr>
                <w:rFonts w:hint="default" w:ascii="Times New Roman" w:hAnsi="Times New Roman" w:eastAsia="宋体" w:cs="Times New Roman"/>
                <w:b/>
                <w:bCs/>
                <w:i w:val="0"/>
                <w:iCs w:val="0"/>
                <w:color w:val="auto"/>
                <w:kern w:val="0"/>
                <w:sz w:val="24"/>
                <w:szCs w:val="24"/>
                <w:u w:val="none"/>
                <w:lang w:val="en-US" w:eastAsia="zh-CN" w:bidi="ar"/>
              </w:rPr>
              <w:t>预警级别</w:t>
            </w:r>
          </w:p>
        </w:tc>
        <w:tc>
          <w:tcPr>
            <w:tcW w:w="1365" w:type="dxa"/>
            <w:vMerge w:val="restart"/>
            <w:noWrap w:val="0"/>
            <w:vAlign w:val="center"/>
          </w:tcPr>
          <w:p w14:paraId="3E0A48C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响应等级</w:t>
            </w:r>
          </w:p>
        </w:tc>
        <w:tc>
          <w:tcPr>
            <w:tcW w:w="1467" w:type="dxa"/>
            <w:vMerge w:val="restart"/>
            <w:noWrap w:val="0"/>
            <w:vAlign w:val="center"/>
          </w:tcPr>
          <w:p w14:paraId="7E42A344">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水华特征</w:t>
            </w:r>
          </w:p>
        </w:tc>
        <w:tc>
          <w:tcPr>
            <w:tcW w:w="4404" w:type="dxa"/>
            <w:gridSpan w:val="2"/>
            <w:noWrap w:val="0"/>
            <w:vAlign w:val="center"/>
          </w:tcPr>
          <w:p w14:paraId="78219D62">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预警指标</w:t>
            </w:r>
          </w:p>
        </w:tc>
      </w:tr>
      <w:tr w14:paraId="1B37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1286" w:type="dxa"/>
            <w:vMerge w:val="continue"/>
            <w:noWrap w:val="0"/>
            <w:vAlign w:val="center"/>
          </w:tcPr>
          <w:p w14:paraId="3F598414">
            <w:pPr>
              <w:keepNext w:val="0"/>
              <w:keepLines w:val="0"/>
              <w:pageBreakBefore w:val="0"/>
              <w:widowControl/>
              <w:kinsoku/>
              <w:wordWrap/>
              <w:overflowPunct/>
              <w:topLinePunct w:val="0"/>
              <w:autoSpaceDE/>
              <w:autoSpaceDN/>
              <w:bidi w:val="0"/>
              <w:adjustRightInd/>
              <w:snapToGrid w:val="0"/>
              <w:spacing w:line="560" w:lineRule="exact"/>
              <w:jc w:val="center"/>
              <w:rPr>
                <w:rFonts w:hint="default" w:ascii="Times New Roman" w:hAnsi="Times New Roman" w:eastAsia="宋体" w:cs="Times New Roman"/>
                <w:b/>
                <w:bCs/>
                <w:i w:val="0"/>
                <w:iCs w:val="0"/>
                <w:color w:val="auto"/>
                <w:sz w:val="24"/>
                <w:szCs w:val="24"/>
                <w:highlight w:val="none"/>
                <w:u w:val="none"/>
              </w:rPr>
            </w:pPr>
          </w:p>
        </w:tc>
        <w:tc>
          <w:tcPr>
            <w:tcW w:w="1365" w:type="dxa"/>
            <w:vMerge w:val="continue"/>
            <w:noWrap w:val="0"/>
            <w:vAlign w:val="center"/>
          </w:tcPr>
          <w:p w14:paraId="33606EBD">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p>
        </w:tc>
        <w:tc>
          <w:tcPr>
            <w:tcW w:w="1467" w:type="dxa"/>
            <w:vMerge w:val="continue"/>
            <w:noWrap w:val="0"/>
            <w:vAlign w:val="center"/>
          </w:tcPr>
          <w:p w14:paraId="222F8B1C">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p>
        </w:tc>
        <w:tc>
          <w:tcPr>
            <w:tcW w:w="2052" w:type="dxa"/>
            <w:noWrap w:val="0"/>
            <w:vAlign w:val="center"/>
          </w:tcPr>
          <w:p w14:paraId="3FA034DE">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藻密度D（个/L）</w:t>
            </w:r>
          </w:p>
        </w:tc>
        <w:tc>
          <w:tcPr>
            <w:tcW w:w="2352" w:type="dxa"/>
            <w:noWrap w:val="0"/>
            <w:vAlign w:val="center"/>
          </w:tcPr>
          <w:p w14:paraId="1E367786">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b/>
                <w:bCs/>
                <w:i w:val="0"/>
                <w:iCs w:val="0"/>
                <w:color w:val="auto"/>
                <w:kern w:val="0"/>
                <w:sz w:val="24"/>
                <w:szCs w:val="24"/>
                <w:u w:val="none"/>
                <w:lang w:val="en-US" w:eastAsia="zh-CN" w:bidi="ar"/>
              </w:rPr>
            </w:pPr>
            <w:r>
              <w:rPr>
                <w:rFonts w:hint="default" w:ascii="Times New Roman" w:hAnsi="Times New Roman" w:eastAsia="宋体" w:cs="Times New Roman"/>
                <w:b/>
                <w:bCs/>
                <w:i w:val="0"/>
                <w:iCs w:val="0"/>
                <w:color w:val="auto"/>
                <w:kern w:val="0"/>
                <w:sz w:val="24"/>
                <w:szCs w:val="24"/>
                <w:u w:val="none"/>
                <w:lang w:val="en-US" w:eastAsia="zh-CN" w:bidi="ar"/>
              </w:rPr>
              <w:t>水华面积比例P（%）</w:t>
            </w:r>
          </w:p>
        </w:tc>
      </w:tr>
      <w:tr w14:paraId="6EBE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86" w:type="dxa"/>
            <w:noWrap w:val="0"/>
            <w:vAlign w:val="center"/>
          </w:tcPr>
          <w:p w14:paraId="3C2C220C">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三级预警</w:t>
            </w:r>
          </w:p>
        </w:tc>
        <w:tc>
          <w:tcPr>
            <w:tcW w:w="1365" w:type="dxa"/>
            <w:noWrap w:val="0"/>
            <w:vAlign w:val="center"/>
          </w:tcPr>
          <w:p w14:paraId="4429F42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三级响应</w:t>
            </w:r>
          </w:p>
        </w:tc>
        <w:tc>
          <w:tcPr>
            <w:tcW w:w="1467" w:type="dxa"/>
            <w:noWrap w:val="0"/>
            <w:vAlign w:val="center"/>
          </w:tcPr>
          <w:p w14:paraId="2FBB5E60">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轻度水华</w:t>
            </w:r>
          </w:p>
        </w:tc>
        <w:tc>
          <w:tcPr>
            <w:tcW w:w="2052" w:type="dxa"/>
            <w:noWrap w:val="0"/>
            <w:vAlign w:val="center"/>
          </w:tcPr>
          <w:p w14:paraId="09B56D16">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5"/>
                <w:rFonts w:hint="default" w:ascii="Times New Roman" w:hAnsi="Times New Roman" w:eastAsia="宋体" w:cs="Times New Roman"/>
                <w:color w:val="auto"/>
                <w:sz w:val="24"/>
                <w:szCs w:val="24"/>
                <w:lang w:val="en-US" w:eastAsia="zh-CN" w:bidi="ar"/>
              </w:rPr>
              <w:t>1×10</w:t>
            </w:r>
            <w:r>
              <w:rPr>
                <w:rFonts w:hint="default" w:ascii="Times New Roman" w:hAnsi="Times New Roman" w:eastAsia="宋体" w:cs="Times New Roman"/>
                <w:i w:val="0"/>
                <w:iCs w:val="0"/>
                <w:color w:val="auto"/>
                <w:kern w:val="0"/>
                <w:sz w:val="24"/>
                <w:szCs w:val="24"/>
                <w:u w:val="none"/>
                <w:vertAlign w:val="superscript"/>
                <w:lang w:val="en-US" w:eastAsia="zh-CN" w:bidi="ar"/>
              </w:rPr>
              <w:t>7</w:t>
            </w:r>
            <w:r>
              <w:rPr>
                <w:rStyle w:val="25"/>
                <w:rFonts w:hint="default" w:ascii="Times New Roman" w:hAnsi="Times New Roman" w:eastAsia="宋体" w:cs="Times New Roman"/>
                <w:color w:val="auto"/>
                <w:sz w:val="24"/>
                <w:szCs w:val="24"/>
                <w:lang w:val="en-US" w:eastAsia="zh-CN" w:bidi="ar"/>
              </w:rPr>
              <w:t>≤D＜5×10</w:t>
            </w:r>
            <w:r>
              <w:rPr>
                <w:rFonts w:hint="default" w:ascii="Times New Roman" w:hAnsi="Times New Roman" w:eastAsia="宋体" w:cs="Times New Roman"/>
                <w:i w:val="0"/>
                <w:iCs w:val="0"/>
                <w:color w:val="auto"/>
                <w:kern w:val="0"/>
                <w:sz w:val="24"/>
                <w:szCs w:val="24"/>
                <w:u w:val="none"/>
                <w:vertAlign w:val="superscript"/>
                <w:lang w:val="en-US" w:eastAsia="zh-CN" w:bidi="ar"/>
              </w:rPr>
              <w:t>7</w:t>
            </w:r>
          </w:p>
        </w:tc>
        <w:tc>
          <w:tcPr>
            <w:tcW w:w="2352" w:type="dxa"/>
            <w:noWrap w:val="0"/>
            <w:vAlign w:val="center"/>
          </w:tcPr>
          <w:p w14:paraId="54EAC167">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或10≤P＜30</w:t>
            </w:r>
          </w:p>
        </w:tc>
      </w:tr>
      <w:tr w14:paraId="7A9D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86" w:type="dxa"/>
            <w:noWrap w:val="0"/>
            <w:vAlign w:val="center"/>
          </w:tcPr>
          <w:p w14:paraId="4C9DEDB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二级预警</w:t>
            </w:r>
          </w:p>
        </w:tc>
        <w:tc>
          <w:tcPr>
            <w:tcW w:w="1365" w:type="dxa"/>
            <w:noWrap w:val="0"/>
            <w:vAlign w:val="center"/>
          </w:tcPr>
          <w:p w14:paraId="0749F755">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二级响应</w:t>
            </w:r>
          </w:p>
        </w:tc>
        <w:tc>
          <w:tcPr>
            <w:tcW w:w="1467" w:type="dxa"/>
            <w:noWrap w:val="0"/>
            <w:vAlign w:val="center"/>
          </w:tcPr>
          <w:p w14:paraId="7A7FA006">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中度水华</w:t>
            </w:r>
          </w:p>
        </w:tc>
        <w:tc>
          <w:tcPr>
            <w:tcW w:w="2052" w:type="dxa"/>
            <w:noWrap w:val="0"/>
            <w:vAlign w:val="center"/>
          </w:tcPr>
          <w:p w14:paraId="664213A0">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5"/>
                <w:rFonts w:hint="default" w:ascii="Times New Roman" w:hAnsi="Times New Roman" w:eastAsia="宋体" w:cs="Times New Roman"/>
                <w:color w:val="auto"/>
                <w:sz w:val="24"/>
                <w:szCs w:val="24"/>
                <w:lang w:val="en-US" w:eastAsia="zh-CN" w:bidi="ar"/>
              </w:rPr>
              <w:t>5×10</w:t>
            </w:r>
            <w:r>
              <w:rPr>
                <w:rFonts w:hint="default" w:ascii="Times New Roman" w:hAnsi="Times New Roman" w:eastAsia="宋体" w:cs="Times New Roman"/>
                <w:i w:val="0"/>
                <w:iCs w:val="0"/>
                <w:color w:val="auto"/>
                <w:kern w:val="0"/>
                <w:sz w:val="24"/>
                <w:szCs w:val="24"/>
                <w:u w:val="none"/>
                <w:vertAlign w:val="superscript"/>
                <w:lang w:val="en-US" w:eastAsia="zh-CN" w:bidi="ar"/>
              </w:rPr>
              <w:t>7</w:t>
            </w:r>
            <w:r>
              <w:rPr>
                <w:rStyle w:val="25"/>
                <w:rFonts w:hint="default" w:ascii="Times New Roman" w:hAnsi="Times New Roman" w:eastAsia="宋体" w:cs="Times New Roman"/>
                <w:color w:val="auto"/>
                <w:sz w:val="24"/>
                <w:szCs w:val="24"/>
                <w:lang w:val="en-US" w:eastAsia="zh-CN" w:bidi="ar"/>
              </w:rPr>
              <w:t>≤D＜1×10</w:t>
            </w:r>
            <w:r>
              <w:rPr>
                <w:rFonts w:hint="default" w:ascii="Times New Roman" w:hAnsi="Times New Roman" w:eastAsia="宋体" w:cs="Times New Roman"/>
                <w:i w:val="0"/>
                <w:iCs w:val="0"/>
                <w:color w:val="auto"/>
                <w:kern w:val="0"/>
                <w:sz w:val="24"/>
                <w:szCs w:val="24"/>
                <w:u w:val="none"/>
                <w:vertAlign w:val="superscript"/>
                <w:lang w:val="en-US" w:eastAsia="zh-CN" w:bidi="ar"/>
              </w:rPr>
              <w:t>8</w:t>
            </w:r>
          </w:p>
        </w:tc>
        <w:tc>
          <w:tcPr>
            <w:tcW w:w="2352" w:type="dxa"/>
            <w:noWrap w:val="0"/>
            <w:vAlign w:val="center"/>
          </w:tcPr>
          <w:p w14:paraId="0838F28B">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或30≤P≤60</w:t>
            </w:r>
          </w:p>
        </w:tc>
      </w:tr>
      <w:tr w14:paraId="5B81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86" w:type="dxa"/>
            <w:noWrap w:val="0"/>
            <w:vAlign w:val="center"/>
          </w:tcPr>
          <w:p w14:paraId="2038FE55">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一级预警</w:t>
            </w:r>
          </w:p>
        </w:tc>
        <w:tc>
          <w:tcPr>
            <w:tcW w:w="1365" w:type="dxa"/>
            <w:noWrap w:val="0"/>
            <w:vAlign w:val="center"/>
          </w:tcPr>
          <w:p w14:paraId="485D761B">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一级响应</w:t>
            </w:r>
          </w:p>
        </w:tc>
        <w:tc>
          <w:tcPr>
            <w:tcW w:w="1467" w:type="dxa"/>
            <w:noWrap w:val="0"/>
            <w:vAlign w:val="center"/>
          </w:tcPr>
          <w:p w14:paraId="3B05F96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kern w:val="0"/>
                <w:sz w:val="24"/>
                <w:szCs w:val="24"/>
                <w:u w:val="none"/>
                <w:lang w:val="en-US" w:eastAsia="zh-CN" w:bidi="ar"/>
              </w:rPr>
            </w:pPr>
            <w:r>
              <w:rPr>
                <w:rFonts w:hint="default" w:ascii="Times New Roman" w:hAnsi="Times New Roman" w:eastAsia="宋体" w:cs="Times New Roman"/>
                <w:i w:val="0"/>
                <w:iCs w:val="0"/>
                <w:color w:val="auto"/>
                <w:kern w:val="0"/>
                <w:sz w:val="24"/>
                <w:szCs w:val="24"/>
                <w:u w:val="none"/>
                <w:lang w:val="en-US" w:eastAsia="zh-CN" w:bidi="ar"/>
              </w:rPr>
              <w:t>重度水华</w:t>
            </w:r>
          </w:p>
        </w:tc>
        <w:tc>
          <w:tcPr>
            <w:tcW w:w="2052" w:type="dxa"/>
            <w:noWrap w:val="0"/>
            <w:vAlign w:val="center"/>
          </w:tcPr>
          <w:p w14:paraId="1087BB9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Style w:val="25"/>
                <w:rFonts w:hint="default" w:ascii="Times New Roman" w:hAnsi="Times New Roman" w:eastAsia="宋体" w:cs="Times New Roman"/>
                <w:color w:val="auto"/>
                <w:sz w:val="24"/>
                <w:szCs w:val="24"/>
                <w:lang w:val="en-US" w:eastAsia="zh-CN" w:bidi="ar"/>
              </w:rPr>
              <w:t>D≥1×10</w:t>
            </w:r>
            <w:r>
              <w:rPr>
                <w:rFonts w:hint="default" w:ascii="Times New Roman" w:hAnsi="Times New Roman" w:eastAsia="宋体" w:cs="Times New Roman"/>
                <w:i w:val="0"/>
                <w:iCs w:val="0"/>
                <w:color w:val="auto"/>
                <w:kern w:val="0"/>
                <w:sz w:val="24"/>
                <w:szCs w:val="24"/>
                <w:u w:val="none"/>
                <w:vertAlign w:val="superscript"/>
                <w:lang w:val="en-US" w:eastAsia="zh-CN" w:bidi="ar"/>
              </w:rPr>
              <w:t>8</w:t>
            </w:r>
          </w:p>
        </w:tc>
        <w:tc>
          <w:tcPr>
            <w:tcW w:w="2352" w:type="dxa"/>
            <w:noWrap w:val="0"/>
            <w:vAlign w:val="center"/>
          </w:tcPr>
          <w:p w14:paraId="7D00C37C">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0" w:firstLineChars="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或P≥60</w:t>
            </w:r>
          </w:p>
        </w:tc>
      </w:tr>
      <w:tr w14:paraId="5503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522" w:type="dxa"/>
            <w:gridSpan w:val="5"/>
            <w:noWrap w:val="0"/>
            <w:vAlign w:val="center"/>
          </w:tcPr>
          <w:p w14:paraId="1CA65612">
            <w:pPr>
              <w:keepNext w:val="0"/>
              <w:keepLines w:val="0"/>
              <w:pageBreakBefore w:val="0"/>
              <w:widowControl/>
              <w:suppressLineNumbers w:val="0"/>
              <w:kinsoku/>
              <w:wordWrap/>
              <w:overflowPunct/>
              <w:topLinePunct w:val="0"/>
              <w:autoSpaceDE/>
              <w:autoSpaceDN/>
              <w:bidi w:val="0"/>
              <w:adjustRightInd/>
              <w:snapToGrid w:val="0"/>
              <w:spacing w:line="560" w:lineRule="exact"/>
              <w:ind w:firstLine="480" w:firstLineChars="200"/>
              <w:jc w:val="both"/>
              <w:textAlignment w:val="center"/>
              <w:rPr>
                <w:rStyle w:val="25"/>
                <w:rFonts w:hint="default" w:ascii="Times New Roman" w:hAnsi="Times New Roman" w:eastAsia="宋体" w:cs="Times New Roman"/>
                <w:color w:val="auto"/>
                <w:sz w:val="24"/>
                <w:szCs w:val="24"/>
                <w:highlight w:val="none"/>
                <w:lang w:val="en-US" w:eastAsia="zh-CN" w:bidi="ar"/>
              </w:rPr>
            </w:pPr>
            <w:r>
              <w:rPr>
                <w:rStyle w:val="25"/>
                <w:rFonts w:hint="default" w:ascii="Times New Roman" w:hAnsi="Times New Roman" w:eastAsia="宋体" w:cs="Times New Roman"/>
                <w:color w:val="auto"/>
                <w:sz w:val="24"/>
                <w:szCs w:val="24"/>
                <w:highlight w:val="none"/>
                <w:lang w:val="en-US" w:eastAsia="zh-CN" w:bidi="ar"/>
              </w:rPr>
              <w:t>关于预警等级的划分方法分述如下：</w:t>
            </w:r>
          </w:p>
          <w:p w14:paraId="785F5130">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560" w:lineRule="exact"/>
              <w:ind w:firstLine="480" w:firstLineChars="200"/>
              <w:jc w:val="both"/>
              <w:textAlignment w:val="center"/>
              <w:rPr>
                <w:rStyle w:val="25"/>
                <w:rFonts w:hint="default" w:ascii="Times New Roman" w:hAnsi="Times New Roman" w:eastAsia="宋体" w:cs="Times New Roman"/>
                <w:color w:val="auto"/>
                <w:sz w:val="24"/>
                <w:szCs w:val="24"/>
                <w:highlight w:val="none"/>
                <w:lang w:val="en-US" w:eastAsia="zh-CN" w:bidi="ar"/>
              </w:rPr>
            </w:pPr>
            <w:r>
              <w:rPr>
                <w:rStyle w:val="25"/>
                <w:rFonts w:hint="default" w:ascii="Times New Roman" w:hAnsi="Times New Roman" w:eastAsia="宋体" w:cs="Times New Roman"/>
                <w:color w:val="auto"/>
                <w:sz w:val="24"/>
                <w:szCs w:val="24"/>
                <w:highlight w:val="none"/>
                <w:lang w:val="en-US" w:eastAsia="zh-CN" w:bidi="ar"/>
              </w:rPr>
              <w:t>当藻密度为</w:t>
            </w:r>
            <w:r>
              <w:rPr>
                <w:rFonts w:hint="default" w:ascii="Times New Roman" w:hAnsi="Times New Roman" w:eastAsia="宋体" w:cs="Times New Roman"/>
                <w:i w:val="0"/>
                <w:iCs w:val="0"/>
                <w:color w:val="auto"/>
                <w:kern w:val="0"/>
                <w:sz w:val="24"/>
                <w:szCs w:val="24"/>
                <w:highlight w:val="none"/>
                <w:u w:val="none"/>
                <w:lang w:val="en-US" w:eastAsia="zh-CN" w:bidi="ar"/>
              </w:rPr>
              <w:t>1×10</w:t>
            </w:r>
            <w:r>
              <w:rPr>
                <w:rStyle w:val="26"/>
                <w:rFonts w:hint="default" w:ascii="Times New Roman" w:hAnsi="Times New Roman" w:eastAsia="宋体" w:cs="Times New Roman"/>
                <w:color w:val="auto"/>
                <w:sz w:val="24"/>
                <w:szCs w:val="24"/>
                <w:highlight w:val="none"/>
                <w:lang w:val="en-US" w:eastAsia="zh-CN" w:bidi="ar"/>
              </w:rPr>
              <w:t>7</w:t>
            </w:r>
            <w:r>
              <w:rPr>
                <w:rFonts w:hint="default" w:ascii="Times New Roman" w:hAnsi="Times New Roman" w:eastAsia="宋体" w:cs="Times New Roman"/>
                <w:i w:val="0"/>
                <w:iCs w:val="0"/>
                <w:color w:val="auto"/>
                <w:kern w:val="0"/>
                <w:sz w:val="24"/>
                <w:szCs w:val="24"/>
                <w:highlight w:val="none"/>
                <w:u w:val="none"/>
                <w:lang w:val="en-US" w:eastAsia="zh-CN" w:bidi="ar"/>
              </w:rPr>
              <w:t>≤D＜5×10</w:t>
            </w:r>
            <w:r>
              <w:rPr>
                <w:rStyle w:val="26"/>
                <w:rFonts w:hint="default" w:ascii="Times New Roman" w:hAnsi="Times New Roman" w:eastAsia="宋体" w:cs="Times New Roman"/>
                <w:color w:val="auto"/>
                <w:sz w:val="24"/>
                <w:szCs w:val="24"/>
                <w:highlight w:val="none"/>
                <w:lang w:val="en-US" w:eastAsia="zh-CN" w:bidi="ar"/>
              </w:rPr>
              <w:t>7</w:t>
            </w:r>
            <w:r>
              <w:rPr>
                <w:rStyle w:val="25"/>
                <w:rFonts w:hint="default" w:ascii="Times New Roman" w:hAnsi="Times New Roman" w:eastAsia="宋体" w:cs="Times New Roman"/>
                <w:color w:val="auto"/>
                <w:sz w:val="24"/>
                <w:szCs w:val="24"/>
                <w:highlight w:val="none"/>
                <w:lang w:val="en-US" w:eastAsia="zh-CN" w:bidi="ar"/>
              </w:rPr>
              <w:t>，且监测点在该浓度范围的点位数超过所有点位数的75%，或水华发生面积占比在10%≤P＜30%范围，判定为轻度水华，为三级预警。</w:t>
            </w:r>
          </w:p>
          <w:p w14:paraId="36206C9E">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560" w:lineRule="exact"/>
              <w:ind w:firstLine="480" w:firstLineChars="200"/>
              <w:jc w:val="both"/>
              <w:textAlignment w:val="center"/>
              <w:rPr>
                <w:rFonts w:hint="default" w:ascii="Times New Roman" w:hAnsi="Times New Roman" w:eastAsia="宋体" w:cs="Times New Roman"/>
                <w:i w:val="0"/>
                <w:iCs w:val="0"/>
                <w:color w:val="auto"/>
                <w:sz w:val="24"/>
                <w:szCs w:val="24"/>
                <w:highlight w:val="none"/>
                <w:u w:val="none"/>
              </w:rPr>
            </w:pPr>
            <w:r>
              <w:rPr>
                <w:rStyle w:val="25"/>
                <w:rFonts w:hint="default" w:ascii="Times New Roman" w:hAnsi="Times New Roman" w:eastAsia="宋体" w:cs="Times New Roman"/>
                <w:color w:val="auto"/>
                <w:sz w:val="24"/>
                <w:szCs w:val="24"/>
                <w:highlight w:val="none"/>
                <w:lang w:val="en-US" w:eastAsia="zh-CN" w:bidi="ar"/>
              </w:rPr>
              <w:t>当藻密度为</w:t>
            </w:r>
            <w:r>
              <w:rPr>
                <w:rFonts w:hint="default" w:ascii="Times New Roman" w:hAnsi="Times New Roman" w:eastAsia="宋体" w:cs="Times New Roman"/>
                <w:i w:val="0"/>
                <w:iCs w:val="0"/>
                <w:color w:val="auto"/>
                <w:kern w:val="0"/>
                <w:sz w:val="24"/>
                <w:szCs w:val="24"/>
                <w:highlight w:val="none"/>
                <w:u w:val="none"/>
                <w:lang w:val="en-US" w:eastAsia="zh-CN" w:bidi="ar"/>
              </w:rPr>
              <w:t>5×10</w:t>
            </w:r>
            <w:r>
              <w:rPr>
                <w:rStyle w:val="26"/>
                <w:rFonts w:hint="default" w:ascii="Times New Roman" w:hAnsi="Times New Roman" w:eastAsia="宋体" w:cs="Times New Roman"/>
                <w:color w:val="auto"/>
                <w:sz w:val="24"/>
                <w:szCs w:val="24"/>
                <w:highlight w:val="none"/>
                <w:lang w:val="en-US" w:eastAsia="zh-CN" w:bidi="ar"/>
              </w:rPr>
              <w:t>7</w:t>
            </w:r>
            <w:r>
              <w:rPr>
                <w:rFonts w:hint="default" w:ascii="Times New Roman" w:hAnsi="Times New Roman" w:eastAsia="宋体" w:cs="Times New Roman"/>
                <w:i w:val="0"/>
                <w:iCs w:val="0"/>
                <w:color w:val="auto"/>
                <w:kern w:val="0"/>
                <w:sz w:val="24"/>
                <w:szCs w:val="24"/>
                <w:highlight w:val="none"/>
                <w:u w:val="none"/>
                <w:lang w:val="en-US" w:eastAsia="zh-CN" w:bidi="ar"/>
              </w:rPr>
              <w:t>≤D＜1×10</w:t>
            </w:r>
            <w:r>
              <w:rPr>
                <w:rStyle w:val="26"/>
                <w:rFonts w:hint="default" w:ascii="Times New Roman" w:hAnsi="Times New Roman" w:eastAsia="宋体" w:cs="Times New Roman"/>
                <w:color w:val="auto"/>
                <w:sz w:val="24"/>
                <w:szCs w:val="24"/>
                <w:highlight w:val="none"/>
                <w:lang w:val="en-US" w:eastAsia="zh-CN" w:bidi="ar"/>
              </w:rPr>
              <w:t>8</w:t>
            </w:r>
            <w:r>
              <w:rPr>
                <w:rStyle w:val="25"/>
                <w:rFonts w:hint="default" w:ascii="Times New Roman" w:hAnsi="Times New Roman" w:eastAsia="宋体" w:cs="Times New Roman"/>
                <w:color w:val="auto"/>
                <w:sz w:val="24"/>
                <w:szCs w:val="24"/>
                <w:highlight w:val="none"/>
                <w:lang w:val="en-US" w:eastAsia="zh-CN" w:bidi="ar"/>
              </w:rPr>
              <w:t>，且监测点在该浓度范围的点位数超过所有点位数的75%，或水华发生面积占比在30%≤P＜60%范围时，判定为中度水华，为二级预警。</w:t>
            </w:r>
          </w:p>
          <w:p w14:paraId="46C72F72">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560" w:lineRule="exact"/>
              <w:ind w:firstLine="480" w:firstLineChars="200"/>
              <w:jc w:val="both"/>
              <w:textAlignment w:val="center"/>
              <w:rPr>
                <w:rFonts w:hint="default" w:ascii="Times New Roman" w:hAnsi="Times New Roman" w:eastAsia="宋体" w:cs="Times New Roman"/>
                <w:i w:val="0"/>
                <w:iCs w:val="0"/>
                <w:color w:val="auto"/>
                <w:sz w:val="24"/>
                <w:szCs w:val="24"/>
                <w:highlight w:val="none"/>
                <w:u w:val="none"/>
              </w:rPr>
            </w:pPr>
            <w:r>
              <w:rPr>
                <w:rStyle w:val="25"/>
                <w:rFonts w:hint="default" w:ascii="Times New Roman" w:hAnsi="Times New Roman" w:eastAsia="宋体" w:cs="Times New Roman"/>
                <w:color w:val="auto"/>
                <w:sz w:val="24"/>
                <w:szCs w:val="24"/>
                <w:highlight w:val="none"/>
                <w:lang w:val="en-US" w:eastAsia="zh-CN" w:bidi="ar"/>
              </w:rPr>
              <w:t>当藻密度为</w:t>
            </w:r>
            <w:r>
              <w:rPr>
                <w:rFonts w:hint="default" w:ascii="Times New Roman" w:hAnsi="Times New Roman" w:eastAsia="宋体" w:cs="Times New Roman"/>
                <w:i w:val="0"/>
                <w:iCs w:val="0"/>
                <w:color w:val="auto"/>
                <w:kern w:val="0"/>
                <w:sz w:val="24"/>
                <w:szCs w:val="24"/>
                <w:highlight w:val="none"/>
                <w:u w:val="none"/>
                <w:lang w:val="en-US" w:eastAsia="zh-CN" w:bidi="ar"/>
              </w:rPr>
              <w:t>D≥1×10</w:t>
            </w:r>
            <w:r>
              <w:rPr>
                <w:rStyle w:val="26"/>
                <w:rFonts w:hint="default" w:ascii="Times New Roman" w:hAnsi="Times New Roman" w:eastAsia="宋体" w:cs="Times New Roman"/>
                <w:color w:val="auto"/>
                <w:sz w:val="24"/>
                <w:szCs w:val="24"/>
                <w:highlight w:val="none"/>
                <w:lang w:val="en-US" w:eastAsia="zh-CN" w:bidi="ar"/>
              </w:rPr>
              <w:t>8</w:t>
            </w:r>
            <w:r>
              <w:rPr>
                <w:rStyle w:val="25"/>
                <w:rFonts w:hint="default" w:ascii="Times New Roman" w:hAnsi="Times New Roman" w:eastAsia="宋体" w:cs="Times New Roman"/>
                <w:color w:val="auto"/>
                <w:sz w:val="24"/>
                <w:szCs w:val="24"/>
                <w:highlight w:val="none"/>
                <w:lang w:val="en-US" w:eastAsia="zh-CN" w:bidi="ar"/>
              </w:rPr>
              <w:t>，且监测点在该浓度范围的点位数超过所有点位数的75%，或水华发生面积占比在P≥60%范围时，判定为重度水华，为一级预警。</w:t>
            </w:r>
          </w:p>
        </w:tc>
      </w:tr>
    </w:tbl>
    <w:p w14:paraId="61A5DF52">
      <w:pPr>
        <w:pStyle w:val="3"/>
        <w:bidi w:val="0"/>
        <w:rPr>
          <w:rFonts w:hint="default" w:ascii="Times New Roman" w:hAnsi="Times New Roman" w:eastAsia="宋体" w:cs="Times New Roman"/>
          <w:color w:val="auto"/>
          <w:sz w:val="24"/>
          <w:szCs w:val="24"/>
          <w:lang w:val="en-US" w:eastAsia="zh-CN"/>
        </w:rPr>
      </w:pPr>
      <w:bookmarkStart w:id="47" w:name="_Toc20629"/>
      <w:bookmarkStart w:id="48" w:name="_Toc3146"/>
      <w:bookmarkStart w:id="49" w:name="_Toc14609"/>
      <w:r>
        <w:rPr>
          <w:rFonts w:hint="eastAsia" w:cs="Times New Roman"/>
          <w:color w:val="auto"/>
          <w:sz w:val="24"/>
          <w:szCs w:val="24"/>
          <w:lang w:val="en-US" w:eastAsia="zh-CN"/>
        </w:rPr>
        <w:t>5.7</w:t>
      </w:r>
      <w:r>
        <w:rPr>
          <w:rFonts w:hint="default" w:ascii="Times New Roman" w:hAnsi="Times New Roman" w:eastAsia="宋体" w:cs="Times New Roman"/>
          <w:color w:val="auto"/>
          <w:sz w:val="24"/>
          <w:szCs w:val="24"/>
          <w:lang w:val="en-US" w:eastAsia="zh-CN"/>
        </w:rPr>
        <w:t>蓝藻水华控制技术</w:t>
      </w:r>
      <w:bookmarkEnd w:id="47"/>
      <w:bookmarkEnd w:id="48"/>
      <w:bookmarkEnd w:id="49"/>
    </w:p>
    <w:p w14:paraId="419DE83C">
      <w:pPr>
        <w:pStyle w:val="4"/>
        <w:bidi w:val="0"/>
        <w:rPr>
          <w:rFonts w:hint="default" w:ascii="Times New Roman" w:hAnsi="Times New Roman" w:eastAsia="宋体" w:cs="Times New Roman"/>
          <w:color w:val="auto"/>
          <w:sz w:val="24"/>
          <w:szCs w:val="24"/>
          <w:lang w:val="en-US" w:eastAsia="zh-CN"/>
        </w:rPr>
      </w:pPr>
      <w:bookmarkStart w:id="50" w:name="_Toc14453"/>
      <w:r>
        <w:rPr>
          <w:rFonts w:hint="eastAsia" w:ascii="Times New Roman" w:hAnsi="Times New Roman" w:eastAsia="宋体" w:cs="Times New Roman"/>
          <w:color w:val="auto"/>
          <w:sz w:val="24"/>
          <w:szCs w:val="24"/>
          <w:lang w:val="en-US" w:eastAsia="zh-CN"/>
        </w:rPr>
        <w:t>5.7.1</w:t>
      </w:r>
      <w:r>
        <w:rPr>
          <w:rFonts w:hint="default" w:ascii="Times New Roman" w:hAnsi="Times New Roman" w:eastAsia="宋体" w:cs="Times New Roman"/>
          <w:color w:val="auto"/>
          <w:sz w:val="24"/>
          <w:szCs w:val="24"/>
          <w:lang w:val="en-US" w:eastAsia="zh-CN"/>
        </w:rPr>
        <w:t>湖库型饮用水水源地</w:t>
      </w:r>
      <w:bookmarkEnd w:id="50"/>
    </w:p>
    <w:p w14:paraId="3FCCC993">
      <w:pPr>
        <w:bidi w:val="0"/>
        <w:rPr>
          <w:rFonts w:hint="default"/>
          <w:lang w:val="en-US" w:eastAsia="zh-CN"/>
        </w:rPr>
      </w:pPr>
      <w:r>
        <w:rPr>
          <w:rFonts w:hint="eastAsia"/>
          <w:lang w:val="en-US" w:eastAsia="zh-CN"/>
        </w:rPr>
        <w:t>（1）</w:t>
      </w:r>
      <w:r>
        <w:rPr>
          <w:rFonts w:hint="default"/>
          <w:lang w:val="en-US" w:eastAsia="zh-CN"/>
        </w:rPr>
        <w:t>三级响应</w:t>
      </w:r>
    </w:p>
    <w:p w14:paraId="4B0189DF">
      <w:pPr>
        <w:bidi w:val="0"/>
        <w:rPr>
          <w:rFonts w:hint="default"/>
          <w:lang w:val="en-US" w:eastAsia="zh-CN"/>
        </w:rPr>
      </w:pPr>
      <w:r>
        <w:rPr>
          <w:rFonts w:hint="eastAsia"/>
          <w:lang w:val="en-US" w:eastAsia="zh-CN"/>
        </w:rPr>
        <w:t>①</w:t>
      </w:r>
      <w:r>
        <w:rPr>
          <w:rFonts w:hint="default"/>
          <w:lang w:val="en-US" w:eastAsia="zh-CN"/>
        </w:rPr>
        <w:t>总体技术应以曝气推流+气浮隔离富集装置导流+人工打捞分离为主，取水口应设置1层200目的围格拦截蓝藻。</w:t>
      </w:r>
    </w:p>
    <w:p w14:paraId="4A7D9BA1">
      <w:pPr>
        <w:bidi w:val="0"/>
        <w:rPr>
          <w:rFonts w:hint="default"/>
          <w:lang w:val="en-US" w:eastAsia="zh-CN"/>
        </w:rPr>
      </w:pPr>
      <w:r>
        <w:rPr>
          <w:rFonts w:hint="eastAsia"/>
          <w:lang w:val="en-US" w:eastAsia="zh-CN"/>
        </w:rPr>
        <w:t>②</w:t>
      </w:r>
      <w:r>
        <w:rPr>
          <w:rFonts w:hint="default"/>
          <w:lang w:val="en-US" w:eastAsia="zh-CN"/>
        </w:rPr>
        <w:t>曝气推流是在蓝藻水华暴发区通过曝气造流改变蓝藻时空分布格局以缓解藻类在水面堆积。曝气推流方向应同常年主导风向一致，曝气装置应安装到取水口上风向100 m处，水下30 cm，运行后应肉眼可见湖面水体流动。</w:t>
      </w:r>
    </w:p>
    <w:p w14:paraId="2B30073D">
      <w:pPr>
        <w:bidi w:val="0"/>
        <w:rPr>
          <w:rFonts w:hint="default"/>
          <w:lang w:val="en-US" w:eastAsia="zh-CN"/>
        </w:rPr>
      </w:pPr>
      <w:r>
        <w:rPr>
          <w:rFonts w:hint="eastAsia"/>
          <w:lang w:val="en-US" w:eastAsia="zh-CN"/>
        </w:rPr>
        <w:t>③</w:t>
      </w:r>
      <w:r>
        <w:rPr>
          <w:rFonts w:hint="default"/>
          <w:lang w:val="en-US" w:eastAsia="zh-CN"/>
        </w:rPr>
        <w:t>气浮隔离富集装置由柔性管（1）、柔性防水布（2）、沉底石笼（3）、充气密封阀（4）以及放气阀封阀（5）组成。采用气浮隔离富集装置对蓝藻进行拦截-导流，围格应设置在取水口上风向20-50 m处，围格宜成“V”字型或“弧”形，围格开口方向应朝主导风向与主导风向成夹角。气浮隔离富集装置拦截深度应考虑蓝藻在水柱中的纵向分布，一般深度为1-1.5 m。</w:t>
      </w:r>
    </w:p>
    <w:p w14:paraId="060D7E27">
      <w:pPr>
        <w:bidi w:val="0"/>
        <w:rPr>
          <w:rFonts w:hint="default"/>
          <w:lang w:val="en-US" w:eastAsia="zh-CN"/>
        </w:rPr>
      </w:pPr>
      <w:r>
        <w:rPr>
          <w:rFonts w:hint="eastAsia"/>
          <w:lang w:val="en-US" w:eastAsia="zh-CN"/>
        </w:rPr>
        <w:t>④</w:t>
      </w:r>
      <w:r>
        <w:rPr>
          <w:rFonts w:hint="default"/>
          <w:lang w:val="en-US" w:eastAsia="zh-CN"/>
        </w:rPr>
        <w:t>人工打捞是目前最为普遍、成熟的应急方法，人工打捞网的网目不小于200目。蓝藻经气浮隔离富集装置导流后，会形成藻类富集区，应组织人力重点打捞该区域蓝藻。</w:t>
      </w:r>
    </w:p>
    <w:p w14:paraId="2C7BCEBD">
      <w:pPr>
        <w:bidi w:val="0"/>
        <w:rPr>
          <w:rFonts w:hint="default"/>
          <w:lang w:val="en-US" w:eastAsia="zh-CN"/>
        </w:rPr>
      </w:pPr>
      <w:r>
        <w:rPr>
          <w:rFonts w:hint="eastAsia"/>
          <w:lang w:val="en-US" w:eastAsia="zh-CN"/>
        </w:rPr>
        <w:t>⑤</w:t>
      </w:r>
      <w:r>
        <w:rPr>
          <w:rFonts w:hint="default"/>
          <w:lang w:val="en-US" w:eastAsia="zh-CN"/>
        </w:rPr>
        <w:t>打捞藻泥无害化和资源化处置可采用堆肥、厌氧发酵、焚烧、资源回收等技术。</w:t>
      </w:r>
    </w:p>
    <w:p w14:paraId="3E0EA3A8">
      <w:pPr>
        <w:bidi w:val="0"/>
        <w:rPr>
          <w:rFonts w:hint="default"/>
          <w:lang w:val="en-US" w:eastAsia="zh-CN"/>
        </w:rPr>
      </w:pPr>
      <w:r>
        <w:rPr>
          <w:rFonts w:hint="default"/>
          <w:lang w:val="en-US" w:eastAsia="zh-CN"/>
        </w:rPr>
        <w:t>1）堆肥：将藻浆与其他有机废物混合堆肥，通过生物降解过程将其转化为有机肥料；</w:t>
      </w:r>
    </w:p>
    <w:p w14:paraId="11306448">
      <w:pPr>
        <w:bidi w:val="0"/>
        <w:rPr>
          <w:rFonts w:hint="default"/>
          <w:lang w:val="en-US" w:eastAsia="zh-CN"/>
        </w:rPr>
      </w:pPr>
      <w:r>
        <w:rPr>
          <w:rFonts w:hint="default"/>
          <w:lang w:val="en-US" w:eastAsia="zh-CN"/>
        </w:rPr>
        <w:t>2）沼气发酵：将藻浆投入沼气池进行发酵，产生沼气并生成有机肥料；</w:t>
      </w:r>
    </w:p>
    <w:p w14:paraId="2D674EB4">
      <w:pPr>
        <w:bidi w:val="0"/>
        <w:rPr>
          <w:rFonts w:hint="default"/>
          <w:lang w:val="en-US" w:eastAsia="zh-CN"/>
        </w:rPr>
      </w:pPr>
      <w:r>
        <w:rPr>
          <w:rFonts w:hint="default"/>
          <w:lang w:val="en-US" w:eastAsia="zh-CN"/>
        </w:rPr>
        <w:t>3）厌氧发酵：利用厌氧消化过程处理藻浆，产生沼气和稳定的有机残渣，同时有效减少有机负荷；</w:t>
      </w:r>
    </w:p>
    <w:p w14:paraId="4253DAB8">
      <w:pPr>
        <w:bidi w:val="0"/>
        <w:rPr>
          <w:rFonts w:hint="default"/>
          <w:lang w:val="en-US" w:eastAsia="zh-CN"/>
        </w:rPr>
      </w:pPr>
      <w:r>
        <w:rPr>
          <w:rFonts w:hint="default"/>
          <w:lang w:val="en-US" w:eastAsia="zh-CN"/>
        </w:rPr>
        <w:t>4）焚烧：将藻浆干燥后进行焚烧处理，以减少体积和处理有机物；</w:t>
      </w:r>
    </w:p>
    <w:p w14:paraId="7FE6A600">
      <w:pPr>
        <w:bidi w:val="0"/>
        <w:rPr>
          <w:rFonts w:hint="default"/>
          <w:lang w:val="en-US" w:eastAsia="zh-CN"/>
        </w:rPr>
      </w:pPr>
      <w:r>
        <w:rPr>
          <w:rFonts w:hint="default"/>
          <w:lang w:val="en-US" w:eastAsia="zh-CN"/>
        </w:rPr>
        <w:t>5）资源回收：对于一些含有有用资源的藻类，如蛋白质或油脂，可以用作饲料、肥料或生物燃料。</w:t>
      </w:r>
    </w:p>
    <w:p w14:paraId="75CDC37C">
      <w:pPr>
        <w:bidi w:val="0"/>
        <w:rPr>
          <w:rFonts w:hint="default"/>
          <w:lang w:val="en-US" w:eastAsia="zh-CN"/>
        </w:rPr>
      </w:pPr>
      <w:r>
        <w:rPr>
          <w:rFonts w:hint="eastAsia"/>
          <w:lang w:val="en-US" w:eastAsia="zh-CN"/>
        </w:rPr>
        <w:t>⑥</w:t>
      </w:r>
      <w:r>
        <w:rPr>
          <w:rFonts w:hint="default"/>
          <w:lang w:val="en-US" w:eastAsia="zh-CN"/>
        </w:rPr>
        <w:t>饮用水水源地取水口应设置1层围格拦截蓝藻，围格孔径为200目，其设计可参照气浮隔离富集装置，规模大小为30 m×30 m。取水口处应定期打捞围格周边聚集的蓝藻。</w:t>
      </w:r>
    </w:p>
    <w:p w14:paraId="7E015890">
      <w:pPr>
        <w:bidi w:val="0"/>
        <w:rPr>
          <w:rFonts w:hint="default"/>
          <w:lang w:val="en-US" w:eastAsia="zh-CN"/>
        </w:rPr>
      </w:pPr>
      <w:r>
        <w:rPr>
          <w:rFonts w:hint="eastAsia"/>
          <w:lang w:val="en-US" w:eastAsia="zh-CN"/>
        </w:rPr>
        <w:t>（2）</w:t>
      </w:r>
      <w:r>
        <w:rPr>
          <w:rFonts w:hint="default"/>
          <w:lang w:val="en-US" w:eastAsia="zh-CN"/>
        </w:rPr>
        <w:t>二级响应</w:t>
      </w:r>
    </w:p>
    <w:p w14:paraId="5CF6A900">
      <w:pPr>
        <w:bidi w:val="0"/>
        <w:rPr>
          <w:rFonts w:hint="default"/>
          <w:lang w:val="en-US" w:eastAsia="zh-CN"/>
        </w:rPr>
      </w:pPr>
      <w:r>
        <w:rPr>
          <w:rFonts w:hint="eastAsia"/>
          <w:lang w:val="en-US" w:eastAsia="zh-CN"/>
        </w:rPr>
        <w:t>①</w:t>
      </w:r>
      <w:r>
        <w:rPr>
          <w:rFonts w:hint="default"/>
          <w:lang w:val="en-US" w:eastAsia="zh-CN"/>
        </w:rPr>
        <w:t>总体技术应以曝气推流+气浮隔离富集装置导流+人工/机械打捞、超声控藻、压力控藻、非经典生物控藻技术为主，取水口应设置2层200目的围格拦截蓝藻。</w:t>
      </w:r>
    </w:p>
    <w:p w14:paraId="36A81720">
      <w:pPr>
        <w:bidi w:val="0"/>
        <w:rPr>
          <w:rFonts w:hint="default"/>
          <w:lang w:val="en-US" w:eastAsia="zh-CN"/>
        </w:rPr>
      </w:pPr>
      <w:r>
        <w:rPr>
          <w:rFonts w:hint="eastAsia"/>
          <w:lang w:val="en-US" w:eastAsia="zh-CN"/>
        </w:rPr>
        <w:t>②</w:t>
      </w:r>
      <w:r>
        <w:rPr>
          <w:rFonts w:hint="default"/>
          <w:lang w:val="en-US" w:eastAsia="zh-CN"/>
        </w:rPr>
        <w:t>曝气推流、气浮隔离富集以及人工打捞同</w:t>
      </w:r>
      <w:r>
        <w:rPr>
          <w:rFonts w:hint="eastAsia"/>
          <w:lang w:val="en-US" w:eastAsia="zh-CN"/>
        </w:rPr>
        <w:t>上</w:t>
      </w:r>
      <w:r>
        <w:rPr>
          <w:rFonts w:hint="default"/>
          <w:lang w:val="en-US" w:eastAsia="zh-CN"/>
        </w:rPr>
        <w:t>。</w:t>
      </w:r>
    </w:p>
    <w:p w14:paraId="26A8716C">
      <w:pPr>
        <w:bidi w:val="0"/>
        <w:rPr>
          <w:rFonts w:hint="default"/>
          <w:lang w:val="en-US" w:eastAsia="zh-CN"/>
        </w:rPr>
      </w:pPr>
      <w:r>
        <w:rPr>
          <w:rFonts w:hint="eastAsia"/>
          <w:lang w:val="en-US" w:eastAsia="zh-CN"/>
        </w:rPr>
        <w:t>③</w:t>
      </w:r>
      <w:r>
        <w:rPr>
          <w:rFonts w:hint="default"/>
          <w:lang w:val="en-US" w:eastAsia="zh-CN"/>
        </w:rPr>
        <w:t>在藻类富集区采用机械打捞方式收集蓝藻，机械打捞通过自动船载藻水分离专业设备实施，步骤如下：</w:t>
      </w:r>
    </w:p>
    <w:p w14:paraId="1594BF43">
      <w:pPr>
        <w:bidi w:val="0"/>
        <w:rPr>
          <w:rFonts w:hint="default"/>
          <w:lang w:val="en-US" w:eastAsia="zh-CN"/>
        </w:rPr>
      </w:pPr>
      <w:r>
        <w:rPr>
          <w:rFonts w:hint="default"/>
          <w:lang w:val="en-US" w:eastAsia="zh-CN"/>
        </w:rPr>
        <w:t>1）藻水浓缩成稀藻浆，包括：A、汲藻：转鼓微滤除藻机装配在船体平台上，水泵从湖泊富藻水区域汲取藻水，通过连接除藻机进水口的管道，将藻水输送进入转鼓；B、滤水：转鼓上覆盖滤网，转鼓旋转时，藻水中的水在重力和离心力作用下经滤网过滤，从鼓侧筛孔流出，得到滤后清水，经排水口排出；C、截藻：藻水中的藻被滤网截留，附着在滤网上，随转鼓旋转离开水体；D、冲藻：滤网截留的藻随转鼓旋转至顶端时，被转鼓微滤除藻机筒外设置的反冲洗装置喷出的水不断由外向内冲洗，藻类被冲离滤网，滤网被冲洗干净；反冲洗水来自滤后清水，由高压水泵输送至反冲洗装置；E、集藻：被冲离下来的藻被转鼓微滤除藻机筒内设置的集藻槽收集，与反冲洗水汇成稀藻浆，经排藻管排出转鼓内腔；</w:t>
      </w:r>
    </w:p>
    <w:p w14:paraId="3137BA97">
      <w:pPr>
        <w:bidi w:val="0"/>
        <w:rPr>
          <w:rFonts w:hint="default"/>
          <w:lang w:val="en-US" w:eastAsia="zh-CN"/>
        </w:rPr>
      </w:pPr>
      <w:r>
        <w:rPr>
          <w:rFonts w:hint="default"/>
          <w:lang w:val="en-US" w:eastAsia="zh-CN"/>
        </w:rPr>
        <w:t>2）稀藻浆浓缩成浓藻浆，包括：A、进料：稀藻浆经进料口进入笮形转筒中；B、滤水脱水：转筒上覆盖滤网，转筒旋转时，藻浆中的水在重力和离心力作用下经滤网过滤，同时滤网上粘附的水遇到喷出的压缩空气，部分会反溅在转筒外，加快水份脱除，过滤及脱除的水经排水口排出；C、截藻：藻浆中的藻被滤网截留，附着在滤网上，随转筒旋转离开水体；D、冲藻：滤网截留的藻随转筒旋转至顶端时，被筒外设置的空气反冲洗装置喷出的空气不断由外向内冲洗，藻类从滤网被吹脱下来；E、出料：被吹脱下来的藻被筒内设置的集藻槽收集，形成浓藻浆，经排藻管排出；</w:t>
      </w:r>
    </w:p>
    <w:p w14:paraId="4E924E0D">
      <w:pPr>
        <w:bidi w:val="0"/>
        <w:rPr>
          <w:rFonts w:hint="default"/>
          <w:lang w:val="en-US" w:eastAsia="zh-CN"/>
        </w:rPr>
      </w:pPr>
      <w:r>
        <w:rPr>
          <w:rFonts w:hint="default"/>
          <w:lang w:val="en-US" w:eastAsia="zh-CN"/>
        </w:rPr>
        <w:t>3）浓藻浆脱水形成半固相藻泥，包括：A、进料：浓藻浆经进料口进入长形滚筒中；B、滤水脱水：滚筒上覆盖滤网，内置无轴螺旋；螺旋旋转时，浓藻浆与滤网的接触停留时间长，利于水份过滤；同时滤网上粘附的水遇到高速喷出的压缩空气，部分会反溅在滚筒外，加快水份脱除，过滤及脱除的水经排水口排出；C、截藻：藻浆中的藻被滤网截留，附着在滤网上，随滚筒旋转与藻浆分离；D、冲藻：滤网截留的藻被筒外侧设置的空气反冲洗装置喷出的空气不断由外向内冲洗，藻类从滤网被吹脱下来；E、出料：被吹脱下来的藻重新落入筒内，随无轴螺旋转动向前输移，藻浆水份脱除，形成半固相藻泥，从排泥口排出；</w:t>
      </w:r>
    </w:p>
    <w:p w14:paraId="00C034B7">
      <w:pPr>
        <w:bidi w:val="0"/>
        <w:rPr>
          <w:rFonts w:hint="default"/>
          <w:lang w:val="en-US" w:eastAsia="zh-CN"/>
        </w:rPr>
      </w:pPr>
      <w:r>
        <w:rPr>
          <w:rFonts w:hint="default"/>
          <w:lang w:val="en-US" w:eastAsia="zh-CN"/>
        </w:rPr>
        <w:t>4）采用水反冲洗和气反冲洗方法，产生的水冲洗压力和气冲洗压力将滤网孔清洗，采用回流系统，将藻浆浓缩过程产生的过滤水回流至转鼓进行再处理，实现清水入湖。</w:t>
      </w:r>
    </w:p>
    <w:p w14:paraId="49C69F25">
      <w:pPr>
        <w:bidi w:val="0"/>
        <w:rPr>
          <w:rFonts w:hint="default"/>
          <w:lang w:val="en-US" w:eastAsia="zh-CN"/>
        </w:rPr>
      </w:pPr>
      <w:r>
        <w:rPr>
          <w:rFonts w:hint="default"/>
          <w:lang w:val="en-US" w:eastAsia="zh-CN"/>
        </w:rPr>
        <w:t>自动船载藻水分离装置由转鼓微滤除藻机（1）、一级浓缩器（2）、二级浓缩器（3）、船舱（4）、汲藻水泵（5）、船体（6），检修窗门（7）以及船舱门（8）组成。</w:t>
      </w:r>
    </w:p>
    <w:p w14:paraId="18F89EAF">
      <w:pPr>
        <w:bidi w:val="0"/>
        <w:rPr>
          <w:rFonts w:hint="default"/>
          <w:lang w:val="en-US" w:eastAsia="zh-CN"/>
        </w:rPr>
      </w:pPr>
      <w:r>
        <w:rPr>
          <w:rFonts w:hint="eastAsia"/>
          <w:lang w:val="en-US" w:eastAsia="zh-CN"/>
        </w:rPr>
        <w:t>④</w:t>
      </w:r>
      <w:r>
        <w:rPr>
          <w:rFonts w:hint="default"/>
          <w:lang w:val="en-US" w:eastAsia="zh-CN"/>
        </w:rPr>
        <w:t>压力控藻是在藻类富集区施加外部压力使蓝藻伪空胞破裂下沉湖底，从而避免在水体表面聚集；加压处理后蓝藻细胞内的伪空胞干瘪，在水体中失去上浮能力，称之为蓝藻灭活。需要说明的是，当暴发的蓝藻水华优势藻种（物种数占比≧95%）为不产毒藻（如惠氏微囊藻、螺旋藻、念珠藻等）时，才可在饮用水水源地使用该技术。</w:t>
      </w:r>
    </w:p>
    <w:p w14:paraId="00012CE4">
      <w:pPr>
        <w:pStyle w:val="19"/>
        <w:keepNext w:val="0"/>
        <w:keepLines w:val="0"/>
        <w:pageBreakBefore w:val="0"/>
        <w:kinsoku/>
        <w:wordWrap/>
        <w:overflowPunct/>
        <w:topLinePunct w:val="0"/>
        <w:bidi w:val="0"/>
        <w:adjustRightInd/>
        <w:snapToGrid w:val="0"/>
        <w:spacing w:line="560" w:lineRule="exact"/>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压力控藻装置由聚藻头（1）、内管（2）、外管（3）、负压推流装置（4）以及出水横管（5）组成。</w:t>
      </w:r>
    </w:p>
    <w:p w14:paraId="457ABCC7">
      <w:pPr>
        <w:bidi w:val="0"/>
        <w:rPr>
          <w:rFonts w:hint="default"/>
          <w:lang w:val="en-US" w:eastAsia="zh-CN"/>
        </w:rPr>
      </w:pPr>
      <w:r>
        <w:rPr>
          <w:rFonts w:hint="eastAsia"/>
          <w:lang w:val="en-US" w:eastAsia="zh-CN"/>
        </w:rPr>
        <w:t>⑤</w:t>
      </w:r>
      <w:r>
        <w:rPr>
          <w:rFonts w:hint="default"/>
          <w:lang w:val="en-US" w:eastAsia="zh-CN"/>
        </w:rPr>
        <w:t>超声控藻是在藻类富集区使用超声波破坏蓝藻伪空胞，使其细胞失去浮力下沉，并损伤或氧化藻细胞。需要说明的是，当暴发的蓝藻水华优势藻种（物种数占比≧95%）为不产毒藻（如惠氏微囊藻、螺旋藻、念珠藻等）时，才可在饮用水水源地使用该技术。</w:t>
      </w:r>
    </w:p>
    <w:p w14:paraId="7ECBF6DE">
      <w:pPr>
        <w:pStyle w:val="19"/>
        <w:keepNext w:val="0"/>
        <w:keepLines w:val="0"/>
        <w:pageBreakBefore w:val="0"/>
        <w:kinsoku/>
        <w:wordWrap/>
        <w:overflowPunct/>
        <w:topLinePunct w:val="0"/>
        <w:bidi w:val="0"/>
        <w:adjustRightInd/>
        <w:snapToGrid w:val="0"/>
        <w:spacing w:line="560" w:lineRule="exact"/>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超声控藻装置由浮体箱（1）、电极防护罩（2）、超声波换能器（3）、太阳能电池板（4）以及警示灯（5）组成。</w:t>
      </w:r>
    </w:p>
    <w:p w14:paraId="75636135">
      <w:pPr>
        <w:bidi w:val="0"/>
        <w:rPr>
          <w:rFonts w:hint="default"/>
          <w:lang w:val="en-US" w:eastAsia="zh-CN"/>
        </w:rPr>
      </w:pPr>
      <w:r>
        <w:rPr>
          <w:rFonts w:hint="eastAsia"/>
          <w:lang w:val="en-US" w:eastAsia="zh-CN"/>
        </w:rPr>
        <w:t>⑥</w:t>
      </w:r>
      <w:r>
        <w:rPr>
          <w:rFonts w:hint="default"/>
          <w:lang w:val="en-US" w:eastAsia="zh-CN"/>
        </w:rPr>
        <w:t>化学杀藻主要采用投加杀藻剂和絮凝剂的方式，其中杀藻剂主要包括过氧化氢、高锰酸钾、氯化剂等，当暴发的蓝藻水华优势藻种（物种数占比≧95%）为不产毒藻（如惠氏微囊藻、螺旋藻、念珠藻等）时，才可在饮用水水源地使用杀藻剂控藻。絮凝剂主要包括黏土矿物、聚合硫酸铁、聚丙烯酰胺（PAM）、聚合氯化铝（PAC）、壳聚糖等。</w:t>
      </w:r>
    </w:p>
    <w:p w14:paraId="186B0E04">
      <w:pPr>
        <w:bidi w:val="0"/>
        <w:rPr>
          <w:rFonts w:hint="default"/>
          <w:lang w:val="en-US" w:eastAsia="zh-CN"/>
        </w:rPr>
      </w:pPr>
      <w:r>
        <w:rPr>
          <w:rFonts w:hint="default"/>
          <w:lang w:val="en-US" w:eastAsia="zh-CN"/>
        </w:rPr>
        <w:t>1）宜选择来源广泛、安全无毒、副作用少、易于降解的杀藻剂，不宜选用本身有一定毒性、容易残留、对生态系统造成破坏的杀藻剂，饮用水水源地优先使用的杀藻剂是过氧化氢（37.5%纯度），投撒终浓度为2-20 mg/L。</w:t>
      </w:r>
    </w:p>
    <w:p w14:paraId="6DE1E328">
      <w:pPr>
        <w:bidi w:val="0"/>
        <w:rPr>
          <w:rFonts w:hint="default"/>
          <w:lang w:val="en-US" w:eastAsia="zh-CN"/>
        </w:rPr>
      </w:pPr>
      <w:r>
        <w:rPr>
          <w:rFonts w:hint="default"/>
          <w:lang w:val="en-US" w:eastAsia="zh-CN"/>
        </w:rPr>
        <w:t>2）宜选择宜被生物降解、无二次污染的絮凝剂，饮用水水源地优先使用的絮凝剂是PAC（纯度不小于30%），投撒终浓度为1-10 mg/L。</w:t>
      </w:r>
    </w:p>
    <w:p w14:paraId="05B4C8BF">
      <w:pPr>
        <w:bidi w:val="0"/>
        <w:rPr>
          <w:rFonts w:hint="default"/>
          <w:lang w:val="en-US" w:eastAsia="zh-CN"/>
        </w:rPr>
      </w:pPr>
      <w:r>
        <w:rPr>
          <w:rFonts w:hint="default"/>
          <w:lang w:val="en-US" w:eastAsia="zh-CN"/>
        </w:rPr>
        <w:t>不同化学杀藻使用量见表</w:t>
      </w:r>
      <w:r>
        <w:rPr>
          <w:rFonts w:hint="eastAsia"/>
          <w:lang w:val="en-US" w:eastAsia="zh-CN"/>
        </w:rPr>
        <w:t>5-</w:t>
      </w:r>
      <w:r>
        <w:rPr>
          <w:rFonts w:hint="default"/>
          <w:lang w:val="en-US" w:eastAsia="zh-CN"/>
        </w:rPr>
        <w:t>4。</w:t>
      </w:r>
    </w:p>
    <w:p w14:paraId="68948F2E">
      <w:pPr>
        <w:pStyle w:val="14"/>
        <w:bidi w:val="0"/>
        <w:rPr>
          <w:rFonts w:hint="default"/>
          <w:lang w:val="en-US" w:eastAsia="zh-CN"/>
        </w:rPr>
      </w:pPr>
      <w:r>
        <w:rPr>
          <w:rFonts w:hint="default"/>
          <w:lang w:val="en-US" w:eastAsia="zh-CN"/>
        </w:rPr>
        <w:t>表</w:t>
      </w:r>
      <w:r>
        <w:rPr>
          <w:rFonts w:hint="eastAsia"/>
          <w:lang w:val="en-US" w:eastAsia="zh-CN"/>
        </w:rPr>
        <w:t>5-</w:t>
      </w:r>
      <w:r>
        <w:rPr>
          <w:rFonts w:hint="default"/>
          <w:lang w:val="en-US" w:eastAsia="zh-CN"/>
        </w:rPr>
        <w:t>4  化学杀藻推荐施用量</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2264"/>
        <w:gridCol w:w="2018"/>
        <w:gridCol w:w="3198"/>
      </w:tblGrid>
      <w:tr w14:paraId="7179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06" w:type="dxa"/>
            <w:gridSpan w:val="2"/>
            <w:noWrap w:val="0"/>
            <w:vAlign w:val="center"/>
          </w:tcPr>
          <w:p w14:paraId="39C30EA6">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类型</w:t>
            </w:r>
          </w:p>
        </w:tc>
        <w:tc>
          <w:tcPr>
            <w:tcW w:w="2018" w:type="dxa"/>
            <w:noWrap w:val="0"/>
            <w:vAlign w:val="center"/>
          </w:tcPr>
          <w:p w14:paraId="4CDD26CE">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终浓度（mg/L）</w:t>
            </w:r>
          </w:p>
        </w:tc>
        <w:tc>
          <w:tcPr>
            <w:tcW w:w="3198" w:type="dxa"/>
            <w:noWrap w:val="0"/>
            <w:vAlign w:val="center"/>
          </w:tcPr>
          <w:p w14:paraId="4F424A92">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color w:val="auto"/>
                <w:sz w:val="24"/>
                <w:szCs w:val="24"/>
                <w:vertAlign w:val="baseline"/>
                <w:lang w:val="en-US" w:eastAsia="zh-CN"/>
              </w:rPr>
              <w:t>备注</w:t>
            </w:r>
          </w:p>
        </w:tc>
      </w:tr>
      <w:tr w14:paraId="5EA9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noWrap w:val="0"/>
            <w:vAlign w:val="center"/>
          </w:tcPr>
          <w:p w14:paraId="19701DAD">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highlight w:val="none"/>
                <w:lang w:val="en-US" w:eastAsia="zh-CN"/>
              </w:rPr>
              <w:t>杀藻剂</w:t>
            </w:r>
          </w:p>
        </w:tc>
        <w:tc>
          <w:tcPr>
            <w:tcW w:w="2264" w:type="dxa"/>
            <w:noWrap w:val="0"/>
            <w:vAlign w:val="center"/>
          </w:tcPr>
          <w:p w14:paraId="1586E359">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highlight w:val="none"/>
                <w:lang w:val="en-US" w:eastAsia="zh-CN"/>
              </w:rPr>
              <w:t>过氧化氢</w:t>
            </w:r>
          </w:p>
        </w:tc>
        <w:tc>
          <w:tcPr>
            <w:tcW w:w="2018" w:type="dxa"/>
            <w:noWrap w:val="0"/>
            <w:vAlign w:val="center"/>
          </w:tcPr>
          <w:p w14:paraId="0261D839">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lang w:val="en-US" w:eastAsia="zh-CN"/>
              </w:rPr>
              <w:t>2-20</w:t>
            </w:r>
          </w:p>
        </w:tc>
        <w:tc>
          <w:tcPr>
            <w:tcW w:w="3198" w:type="dxa"/>
            <w:noWrap w:val="0"/>
            <w:vAlign w:val="center"/>
          </w:tcPr>
          <w:p w14:paraId="0C6364A1">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lang w:val="en-US" w:eastAsia="zh-CN"/>
              </w:rPr>
              <w:t>37.5%纯度，优先使用；</w:t>
            </w:r>
            <w:r>
              <w:rPr>
                <w:rFonts w:hint="default" w:ascii="Times New Roman" w:hAnsi="Times New Roman" w:eastAsia="宋体" w:cs="Times New Roman"/>
                <w:color w:val="auto"/>
                <w:sz w:val="24"/>
                <w:szCs w:val="24"/>
                <w:vertAlign w:val="baseline"/>
                <w:lang w:val="en-US" w:eastAsia="zh-CN"/>
              </w:rPr>
              <w:t>优势藻为不产毒藻种时使用</w:t>
            </w:r>
          </w:p>
        </w:tc>
      </w:tr>
      <w:tr w14:paraId="68EE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continue"/>
            <w:noWrap w:val="0"/>
            <w:vAlign w:val="center"/>
          </w:tcPr>
          <w:p w14:paraId="3CFAFC5D">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p>
        </w:tc>
        <w:tc>
          <w:tcPr>
            <w:tcW w:w="2264" w:type="dxa"/>
            <w:noWrap w:val="0"/>
            <w:vAlign w:val="center"/>
          </w:tcPr>
          <w:p w14:paraId="1938BC4A">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高锰酸钾</w:t>
            </w:r>
          </w:p>
        </w:tc>
        <w:tc>
          <w:tcPr>
            <w:tcW w:w="2018" w:type="dxa"/>
            <w:noWrap w:val="0"/>
            <w:vAlign w:val="center"/>
          </w:tcPr>
          <w:p w14:paraId="2A4AB680">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1-5</w:t>
            </w:r>
          </w:p>
        </w:tc>
        <w:tc>
          <w:tcPr>
            <w:tcW w:w="3198" w:type="dxa"/>
            <w:noWrap w:val="0"/>
            <w:vAlign w:val="center"/>
          </w:tcPr>
          <w:p w14:paraId="51043D52">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en-US" w:eastAsia="zh-CN"/>
              </w:rPr>
              <w:t>优势藻为不产毒藻种时使用</w:t>
            </w:r>
          </w:p>
        </w:tc>
      </w:tr>
      <w:tr w14:paraId="4FA5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continue"/>
            <w:noWrap w:val="0"/>
            <w:vAlign w:val="center"/>
          </w:tcPr>
          <w:p w14:paraId="06E109A3">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p>
        </w:tc>
        <w:tc>
          <w:tcPr>
            <w:tcW w:w="2264" w:type="dxa"/>
            <w:noWrap w:val="0"/>
            <w:vAlign w:val="center"/>
          </w:tcPr>
          <w:p w14:paraId="536A0AB7">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氯化剂</w:t>
            </w:r>
          </w:p>
        </w:tc>
        <w:tc>
          <w:tcPr>
            <w:tcW w:w="2018" w:type="dxa"/>
            <w:noWrap w:val="0"/>
            <w:vAlign w:val="center"/>
          </w:tcPr>
          <w:p w14:paraId="45EA67EC">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5-10</w:t>
            </w:r>
          </w:p>
        </w:tc>
        <w:tc>
          <w:tcPr>
            <w:tcW w:w="3198" w:type="dxa"/>
            <w:noWrap w:val="0"/>
            <w:vAlign w:val="center"/>
          </w:tcPr>
          <w:p w14:paraId="5EAA458C">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en-US" w:eastAsia="zh-CN"/>
              </w:rPr>
              <w:t>优势藻为不产毒藻种时使用</w:t>
            </w:r>
          </w:p>
        </w:tc>
      </w:tr>
      <w:tr w14:paraId="7983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noWrap w:val="0"/>
            <w:vAlign w:val="center"/>
          </w:tcPr>
          <w:p w14:paraId="3D55E9A0">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絮凝剂</w:t>
            </w:r>
          </w:p>
        </w:tc>
        <w:tc>
          <w:tcPr>
            <w:tcW w:w="2264" w:type="dxa"/>
            <w:noWrap w:val="0"/>
            <w:vAlign w:val="center"/>
          </w:tcPr>
          <w:p w14:paraId="3994C27F">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highlight w:val="none"/>
                <w:lang w:val="en-US" w:eastAsia="zh-CN"/>
              </w:rPr>
              <w:t>黏土矿物</w:t>
            </w:r>
          </w:p>
        </w:tc>
        <w:tc>
          <w:tcPr>
            <w:tcW w:w="2018" w:type="dxa"/>
            <w:noWrap w:val="0"/>
            <w:vAlign w:val="center"/>
          </w:tcPr>
          <w:p w14:paraId="207A033E">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10-50</w:t>
            </w:r>
          </w:p>
        </w:tc>
        <w:tc>
          <w:tcPr>
            <w:tcW w:w="3198" w:type="dxa"/>
            <w:noWrap w:val="0"/>
            <w:vAlign w:val="center"/>
          </w:tcPr>
          <w:p w14:paraId="113383A1">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改性黏土最佳</w:t>
            </w:r>
          </w:p>
        </w:tc>
      </w:tr>
      <w:tr w14:paraId="7D4F6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continue"/>
            <w:noWrap w:val="0"/>
            <w:vAlign w:val="center"/>
          </w:tcPr>
          <w:p w14:paraId="5878239E">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p>
        </w:tc>
        <w:tc>
          <w:tcPr>
            <w:tcW w:w="2264" w:type="dxa"/>
            <w:noWrap w:val="0"/>
            <w:vAlign w:val="center"/>
          </w:tcPr>
          <w:p w14:paraId="72E9240A">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highlight w:val="none"/>
                <w:lang w:val="en-US" w:eastAsia="zh-CN"/>
              </w:rPr>
              <w:t>聚合氯化铝（PAC）</w:t>
            </w:r>
          </w:p>
        </w:tc>
        <w:tc>
          <w:tcPr>
            <w:tcW w:w="2018" w:type="dxa"/>
            <w:noWrap w:val="0"/>
            <w:vAlign w:val="center"/>
          </w:tcPr>
          <w:p w14:paraId="479243C4">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10-50</w:t>
            </w:r>
          </w:p>
        </w:tc>
        <w:tc>
          <w:tcPr>
            <w:tcW w:w="3198" w:type="dxa"/>
            <w:noWrap w:val="0"/>
            <w:vAlign w:val="center"/>
          </w:tcPr>
          <w:p w14:paraId="21A74786">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lang w:val="en-US" w:eastAsia="zh-CN"/>
              </w:rPr>
              <w:t>纯度不小于30%，优先使用</w:t>
            </w:r>
          </w:p>
        </w:tc>
      </w:tr>
      <w:tr w14:paraId="0548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continue"/>
            <w:noWrap w:val="0"/>
            <w:vAlign w:val="center"/>
          </w:tcPr>
          <w:p w14:paraId="53B55824">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p>
        </w:tc>
        <w:tc>
          <w:tcPr>
            <w:tcW w:w="2264" w:type="dxa"/>
            <w:noWrap w:val="0"/>
            <w:vAlign w:val="center"/>
          </w:tcPr>
          <w:p w14:paraId="2C619878">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highlight w:val="none"/>
                <w:lang w:val="en-US" w:eastAsia="zh-CN"/>
              </w:rPr>
              <w:t>聚丙烯酰胺（PAM）</w:t>
            </w:r>
          </w:p>
        </w:tc>
        <w:tc>
          <w:tcPr>
            <w:tcW w:w="2018" w:type="dxa"/>
            <w:noWrap w:val="0"/>
            <w:vAlign w:val="center"/>
          </w:tcPr>
          <w:p w14:paraId="36FD7E19">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1-5</w:t>
            </w:r>
          </w:p>
        </w:tc>
        <w:tc>
          <w:tcPr>
            <w:tcW w:w="3198" w:type="dxa"/>
            <w:noWrap w:val="0"/>
            <w:vAlign w:val="center"/>
          </w:tcPr>
          <w:p w14:paraId="7ED24C22">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一般配合PAC使用</w:t>
            </w:r>
          </w:p>
        </w:tc>
      </w:tr>
      <w:tr w14:paraId="2649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continue"/>
            <w:noWrap w:val="0"/>
            <w:vAlign w:val="center"/>
          </w:tcPr>
          <w:p w14:paraId="45DCD02E">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p>
        </w:tc>
        <w:tc>
          <w:tcPr>
            <w:tcW w:w="2264" w:type="dxa"/>
            <w:noWrap w:val="0"/>
            <w:vAlign w:val="center"/>
          </w:tcPr>
          <w:p w14:paraId="5A13E023">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highlight w:val="none"/>
                <w:lang w:val="en-US" w:eastAsia="zh-CN"/>
              </w:rPr>
              <w:t>聚合硫酸铁</w:t>
            </w:r>
          </w:p>
        </w:tc>
        <w:tc>
          <w:tcPr>
            <w:tcW w:w="2018" w:type="dxa"/>
            <w:noWrap w:val="0"/>
            <w:vAlign w:val="center"/>
          </w:tcPr>
          <w:p w14:paraId="7764DC9C">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1-10</w:t>
            </w:r>
          </w:p>
        </w:tc>
        <w:tc>
          <w:tcPr>
            <w:tcW w:w="3198" w:type="dxa"/>
            <w:noWrap w:val="0"/>
            <w:vAlign w:val="center"/>
          </w:tcPr>
          <w:p w14:paraId="6FD2BE7B">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w:t>
            </w:r>
          </w:p>
        </w:tc>
      </w:tr>
      <w:tr w14:paraId="5778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continue"/>
            <w:noWrap w:val="0"/>
            <w:vAlign w:val="center"/>
          </w:tcPr>
          <w:p w14:paraId="52A5FC61">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p>
        </w:tc>
        <w:tc>
          <w:tcPr>
            <w:tcW w:w="2264" w:type="dxa"/>
            <w:noWrap w:val="0"/>
            <w:vAlign w:val="center"/>
          </w:tcPr>
          <w:p w14:paraId="73E8A9E2">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壳聚糖</w:t>
            </w:r>
          </w:p>
        </w:tc>
        <w:tc>
          <w:tcPr>
            <w:tcW w:w="2018" w:type="dxa"/>
            <w:noWrap w:val="0"/>
            <w:vAlign w:val="center"/>
          </w:tcPr>
          <w:p w14:paraId="7D5B4BAC">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25-50</w:t>
            </w:r>
          </w:p>
        </w:tc>
        <w:tc>
          <w:tcPr>
            <w:tcW w:w="3198" w:type="dxa"/>
            <w:noWrap w:val="0"/>
            <w:vAlign w:val="center"/>
          </w:tcPr>
          <w:p w14:paraId="75AECA10">
            <w:pPr>
              <w:pStyle w:val="19"/>
              <w:keepNext w:val="0"/>
              <w:keepLines w:val="0"/>
              <w:pageBreakBefore w:val="0"/>
              <w:widowControl/>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可用来改性黏土</w:t>
            </w:r>
          </w:p>
        </w:tc>
      </w:tr>
    </w:tbl>
    <w:p w14:paraId="31BC9A23">
      <w:pPr>
        <w:pStyle w:val="19"/>
        <w:keepNext w:val="0"/>
        <w:keepLines w:val="0"/>
        <w:pageBreakBefore w:val="0"/>
        <w:kinsoku/>
        <w:wordWrap/>
        <w:overflowPunct/>
        <w:topLinePunct w:val="0"/>
        <w:bidi w:val="0"/>
        <w:adjustRightInd/>
        <w:snapToGrid w:val="0"/>
        <w:spacing w:line="560" w:lineRule="exact"/>
        <w:ind w:left="0" w:leftChars="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3）可选用抛洒、拖船或高压喷枪等方式除藻。</w:t>
      </w:r>
    </w:p>
    <w:p w14:paraId="18BBC6E0">
      <w:pPr>
        <w:bidi w:val="0"/>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⑦</w:t>
      </w:r>
      <w:r>
        <w:rPr>
          <w:rFonts w:hint="default" w:ascii="Times New Roman" w:hAnsi="Times New Roman" w:eastAsia="宋体" w:cs="Times New Roman"/>
          <w:color w:val="auto"/>
          <w:sz w:val="24"/>
          <w:szCs w:val="24"/>
          <w:lang w:val="en-US" w:eastAsia="zh-CN"/>
        </w:rPr>
        <w:t>非经典生物控藻投放鱼类为滤食性鱼类鲢鱼和/或鳙鱼，鲢鱼和鳙鱼的投放比例为3:1，有效鱼类密度约为40-50 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；在大中型湖库使用非经典生物控藻时，需在藻类聚集区设置拦网分水域投放滤食性鱼类。</w:t>
      </w:r>
    </w:p>
    <w:p w14:paraId="47246241">
      <w:pPr>
        <w:bidi w:val="0"/>
        <w:rPr>
          <w:rFonts w:hint="default"/>
          <w:lang w:val="en-US" w:eastAsia="zh-CN"/>
        </w:rPr>
      </w:pPr>
      <w:r>
        <w:rPr>
          <w:rFonts w:hint="eastAsia"/>
          <w:lang w:val="en-US" w:eastAsia="zh-CN"/>
        </w:rPr>
        <w:t>⑧</w:t>
      </w:r>
      <w:r>
        <w:rPr>
          <w:rFonts w:hint="default"/>
          <w:lang w:val="en-US" w:eastAsia="zh-CN"/>
        </w:rPr>
        <w:t>打捞藻浆和藻泥处置同</w:t>
      </w:r>
      <w:r>
        <w:rPr>
          <w:rFonts w:hint="eastAsia"/>
          <w:lang w:val="en-US" w:eastAsia="zh-CN"/>
        </w:rPr>
        <w:t>上</w:t>
      </w:r>
      <w:r>
        <w:rPr>
          <w:rFonts w:hint="default"/>
          <w:lang w:val="en-US" w:eastAsia="zh-CN"/>
        </w:rPr>
        <w:t>。</w:t>
      </w:r>
    </w:p>
    <w:p w14:paraId="05FDE360">
      <w:pPr>
        <w:bidi w:val="0"/>
        <w:rPr>
          <w:rFonts w:hint="default"/>
          <w:lang w:val="en-US" w:eastAsia="zh-CN"/>
        </w:rPr>
      </w:pPr>
      <w:r>
        <w:rPr>
          <w:rFonts w:hint="eastAsia"/>
          <w:lang w:val="en-US" w:eastAsia="zh-CN"/>
        </w:rPr>
        <w:t>⑨</w:t>
      </w:r>
      <w:r>
        <w:rPr>
          <w:rFonts w:hint="default"/>
          <w:lang w:val="en-US" w:eastAsia="zh-CN"/>
        </w:rPr>
        <w:t>饮用水水源地取水口设置2层围格，围格孔径为200目，其设计可参照气浮隔离富集装置，第一层规模大小为30 m×30 m，第二层为40 m×40 m。取水口处应定期打捞围格周边聚集的蓝藻。</w:t>
      </w:r>
    </w:p>
    <w:p w14:paraId="729CAB7E">
      <w:pPr>
        <w:bidi w:val="0"/>
        <w:rPr>
          <w:rFonts w:hint="default"/>
          <w:lang w:val="en-US" w:eastAsia="zh-CN"/>
        </w:rPr>
      </w:pPr>
      <w:r>
        <w:rPr>
          <w:rFonts w:hint="eastAsia"/>
          <w:lang w:val="en-US" w:eastAsia="zh-CN"/>
        </w:rPr>
        <w:t>（3）</w:t>
      </w:r>
      <w:r>
        <w:rPr>
          <w:rFonts w:hint="default"/>
          <w:lang w:val="en-US" w:eastAsia="zh-CN"/>
        </w:rPr>
        <w:t>一级响应</w:t>
      </w:r>
    </w:p>
    <w:p w14:paraId="274ACE87">
      <w:pPr>
        <w:bidi w:val="0"/>
        <w:rPr>
          <w:rFonts w:hint="default"/>
          <w:lang w:val="en-US" w:eastAsia="zh-CN"/>
        </w:rPr>
      </w:pPr>
      <w:r>
        <w:rPr>
          <w:rFonts w:hint="eastAsia"/>
          <w:lang w:val="en-US" w:eastAsia="zh-CN"/>
        </w:rPr>
        <w:t>①</w:t>
      </w:r>
      <w:r>
        <w:rPr>
          <w:rFonts w:hint="default"/>
          <w:lang w:val="en-US" w:eastAsia="zh-CN"/>
        </w:rPr>
        <w:t>总体技术应以水力调节、曝气推流+气浮隔离富集装置导流+机械打捞、超声控藻、压力控藻、化学杀藻、非经典生物控藻技术为主。取水口应设置2层200目的围格拦截蓝藻。</w:t>
      </w:r>
    </w:p>
    <w:p w14:paraId="655ADA3C">
      <w:pPr>
        <w:bidi w:val="0"/>
        <w:rPr>
          <w:rFonts w:hint="default"/>
          <w:lang w:val="en-US" w:eastAsia="zh-CN"/>
        </w:rPr>
      </w:pPr>
      <w:r>
        <w:rPr>
          <w:rFonts w:hint="eastAsia"/>
          <w:lang w:val="en-US" w:eastAsia="zh-CN"/>
        </w:rPr>
        <w:t>②</w:t>
      </w:r>
      <w:r>
        <w:rPr>
          <w:rFonts w:hint="default"/>
          <w:lang w:val="en-US" w:eastAsia="zh-CN"/>
        </w:rPr>
        <w:t>曝气推流和气浮隔离富集同</w:t>
      </w:r>
      <w:r>
        <w:rPr>
          <w:rFonts w:hint="eastAsia"/>
          <w:lang w:val="en-US" w:eastAsia="zh-CN"/>
        </w:rPr>
        <w:t>上</w:t>
      </w:r>
      <w:r>
        <w:rPr>
          <w:rFonts w:hint="default"/>
          <w:lang w:val="en-US" w:eastAsia="zh-CN"/>
        </w:rPr>
        <w:t>，机械打捞、超声控藻、压力控藻、化学杀藻以及非经典生物控藻同</w:t>
      </w:r>
      <w:r>
        <w:rPr>
          <w:rFonts w:hint="eastAsia"/>
          <w:lang w:val="en-US" w:eastAsia="zh-CN"/>
        </w:rPr>
        <w:t>上</w:t>
      </w:r>
      <w:r>
        <w:rPr>
          <w:rFonts w:hint="default"/>
          <w:lang w:val="en-US" w:eastAsia="zh-CN"/>
        </w:rPr>
        <w:t>。</w:t>
      </w:r>
    </w:p>
    <w:p w14:paraId="12B4BDB8">
      <w:pPr>
        <w:bidi w:val="0"/>
        <w:rPr>
          <w:rFonts w:hint="default"/>
          <w:lang w:val="en-US" w:eastAsia="zh-CN"/>
        </w:rPr>
      </w:pPr>
      <w:r>
        <w:rPr>
          <w:rFonts w:hint="eastAsia"/>
          <w:lang w:val="en-US" w:eastAsia="zh-CN"/>
        </w:rPr>
        <w:t>③</w:t>
      </w:r>
      <w:r>
        <w:rPr>
          <w:rFonts w:hint="default"/>
          <w:lang w:val="en-US" w:eastAsia="zh-CN"/>
        </w:rPr>
        <w:t>水资源量充足情况下，短时间内调度大量清洁水源，通过稀释冲刷、人工造流来降低藻密度，是应急效果最明显的方法。水体流速应控制在4 cm/s以上。</w:t>
      </w:r>
    </w:p>
    <w:p w14:paraId="49F58CE9">
      <w:pPr>
        <w:bidi w:val="0"/>
        <w:rPr>
          <w:rFonts w:hint="default"/>
          <w:lang w:val="en-US" w:eastAsia="zh-CN"/>
        </w:rPr>
      </w:pPr>
      <w:r>
        <w:rPr>
          <w:rFonts w:hint="eastAsia"/>
          <w:lang w:val="en-US" w:eastAsia="zh-CN"/>
        </w:rPr>
        <w:t>④</w:t>
      </w:r>
      <w:r>
        <w:rPr>
          <w:rFonts w:hint="default"/>
          <w:lang w:val="en-US" w:eastAsia="zh-CN"/>
        </w:rPr>
        <w:t>打捞藻浆和藻泥处置同</w:t>
      </w:r>
      <w:r>
        <w:rPr>
          <w:rFonts w:hint="eastAsia"/>
          <w:lang w:val="en-US" w:eastAsia="zh-CN"/>
        </w:rPr>
        <w:t>上</w:t>
      </w:r>
      <w:r>
        <w:rPr>
          <w:rFonts w:hint="default"/>
          <w:lang w:val="en-US" w:eastAsia="zh-CN"/>
        </w:rPr>
        <w:t>。</w:t>
      </w:r>
    </w:p>
    <w:p w14:paraId="23C85A32">
      <w:pPr>
        <w:bidi w:val="0"/>
        <w:rPr>
          <w:rFonts w:hint="default"/>
          <w:lang w:val="en-US" w:eastAsia="zh-CN"/>
        </w:rPr>
      </w:pPr>
      <w:r>
        <w:rPr>
          <w:rFonts w:hint="eastAsia"/>
          <w:lang w:val="en-US" w:eastAsia="zh-CN"/>
        </w:rPr>
        <w:t>⑤</w:t>
      </w:r>
      <w:r>
        <w:rPr>
          <w:rFonts w:hint="default"/>
          <w:lang w:val="en-US" w:eastAsia="zh-CN"/>
        </w:rPr>
        <w:t>饮用水水源地取水口围格的设置同</w:t>
      </w:r>
      <w:r>
        <w:rPr>
          <w:rFonts w:hint="eastAsia"/>
          <w:lang w:val="en-US" w:eastAsia="zh-CN"/>
        </w:rPr>
        <w:t>上</w:t>
      </w:r>
      <w:r>
        <w:rPr>
          <w:rFonts w:hint="default"/>
          <w:lang w:val="en-US" w:eastAsia="zh-CN"/>
        </w:rPr>
        <w:t>。</w:t>
      </w:r>
    </w:p>
    <w:p w14:paraId="1E5A29C7">
      <w:pPr>
        <w:pStyle w:val="4"/>
        <w:bidi w:val="0"/>
        <w:rPr>
          <w:rFonts w:hint="default" w:ascii="Times New Roman" w:hAnsi="Times New Roman" w:eastAsia="宋体" w:cs="Times New Roman"/>
          <w:color w:val="auto"/>
          <w:sz w:val="24"/>
          <w:szCs w:val="24"/>
          <w:lang w:val="en-US" w:eastAsia="zh-CN"/>
        </w:rPr>
      </w:pPr>
      <w:bookmarkStart w:id="51" w:name="_Toc865"/>
      <w:r>
        <w:rPr>
          <w:rFonts w:hint="eastAsia" w:ascii="Times New Roman" w:hAnsi="Times New Roman" w:eastAsia="宋体" w:cs="Times New Roman"/>
          <w:color w:val="auto"/>
          <w:sz w:val="24"/>
          <w:szCs w:val="24"/>
          <w:lang w:val="en-US" w:eastAsia="zh-CN"/>
        </w:rPr>
        <w:t>5.7.2</w:t>
      </w:r>
      <w:r>
        <w:rPr>
          <w:rFonts w:hint="default" w:ascii="Times New Roman" w:hAnsi="Times New Roman" w:eastAsia="宋体" w:cs="Times New Roman"/>
          <w:color w:val="auto"/>
          <w:sz w:val="24"/>
          <w:szCs w:val="24"/>
          <w:lang w:val="en-US" w:eastAsia="zh-CN"/>
        </w:rPr>
        <w:t>河流型饮用水水源地</w:t>
      </w:r>
      <w:bookmarkEnd w:id="51"/>
    </w:p>
    <w:p w14:paraId="44BE48D4">
      <w:pPr>
        <w:bidi w:val="0"/>
        <w:rPr>
          <w:rFonts w:hint="default"/>
          <w:lang w:val="en-US" w:eastAsia="zh-CN"/>
        </w:rPr>
      </w:pPr>
      <w:r>
        <w:rPr>
          <w:rFonts w:hint="eastAsia"/>
          <w:lang w:val="en-US" w:eastAsia="zh-CN"/>
        </w:rPr>
        <w:t>（1）</w:t>
      </w:r>
      <w:r>
        <w:rPr>
          <w:rFonts w:hint="default"/>
          <w:lang w:val="en-US" w:eastAsia="zh-CN"/>
        </w:rPr>
        <w:t>三级响应</w:t>
      </w:r>
    </w:p>
    <w:p w14:paraId="449A2863">
      <w:pPr>
        <w:bidi w:val="0"/>
        <w:rPr>
          <w:rFonts w:hint="default"/>
          <w:lang w:val="en-US" w:eastAsia="zh-CN"/>
        </w:rPr>
      </w:pPr>
      <w:r>
        <w:rPr>
          <w:rFonts w:hint="eastAsia"/>
          <w:lang w:val="en-US" w:eastAsia="zh-CN"/>
        </w:rPr>
        <w:t>①</w:t>
      </w:r>
      <w:r>
        <w:rPr>
          <w:rFonts w:hint="default"/>
          <w:lang w:val="en-US" w:eastAsia="zh-CN"/>
        </w:rPr>
        <w:t>总体技术应以曝气推流+气浮隔离富集装置导流+人工打捞分离为主。取水口应设置1层200目的围格拦截蓝藻</w:t>
      </w:r>
    </w:p>
    <w:p w14:paraId="6123EED1">
      <w:pPr>
        <w:bidi w:val="0"/>
        <w:rPr>
          <w:rFonts w:hint="default"/>
          <w:lang w:val="en-US" w:eastAsia="zh-CN"/>
        </w:rPr>
      </w:pPr>
      <w:r>
        <w:rPr>
          <w:rFonts w:hint="eastAsia"/>
          <w:lang w:val="en-US" w:eastAsia="zh-CN"/>
        </w:rPr>
        <w:t>②</w:t>
      </w:r>
      <w:r>
        <w:rPr>
          <w:rFonts w:hint="default"/>
          <w:lang w:val="en-US" w:eastAsia="zh-CN"/>
        </w:rPr>
        <w:t>曝气推流装置应安装到取水口上游100 m处，水下30 cm，运行后应肉眼可见湖面水体流动。曝气推流装置同</w:t>
      </w:r>
      <w:r>
        <w:rPr>
          <w:rFonts w:hint="eastAsia"/>
          <w:lang w:val="en-US" w:eastAsia="zh-CN"/>
        </w:rPr>
        <w:t>上</w:t>
      </w:r>
      <w:r>
        <w:rPr>
          <w:rFonts w:hint="default"/>
          <w:lang w:val="en-US" w:eastAsia="zh-CN"/>
        </w:rPr>
        <w:t>。</w:t>
      </w:r>
    </w:p>
    <w:p w14:paraId="2408CBA2">
      <w:pPr>
        <w:bidi w:val="0"/>
        <w:rPr>
          <w:rFonts w:hint="default"/>
          <w:lang w:val="en-US" w:eastAsia="zh-CN"/>
        </w:rPr>
      </w:pPr>
      <w:r>
        <w:rPr>
          <w:rFonts w:hint="eastAsia"/>
          <w:lang w:val="en-US" w:eastAsia="zh-CN"/>
        </w:rPr>
        <w:t>③</w:t>
      </w:r>
      <w:r>
        <w:rPr>
          <w:rFonts w:hint="default"/>
          <w:lang w:val="en-US" w:eastAsia="zh-CN"/>
        </w:rPr>
        <w:t>浮隔离富集围格应设置在取水口上游20-50 m处，围格宜成“V”字型或“弧”形，围格开口方向应朝上游与水流方向成夹角。气浮隔离富集装置拦截深度应考虑蓝藻在水柱中的纵向分布，一般深度为1-1.5 m。浮隔离富装置同</w:t>
      </w:r>
      <w:r>
        <w:rPr>
          <w:rFonts w:hint="eastAsia"/>
          <w:lang w:val="en-US" w:eastAsia="zh-CN"/>
        </w:rPr>
        <w:t>上</w:t>
      </w:r>
      <w:r>
        <w:rPr>
          <w:rFonts w:hint="default"/>
          <w:lang w:val="en-US" w:eastAsia="zh-CN"/>
        </w:rPr>
        <w:t>。</w:t>
      </w:r>
    </w:p>
    <w:p w14:paraId="5257D501">
      <w:pPr>
        <w:bidi w:val="0"/>
        <w:rPr>
          <w:rFonts w:hint="default"/>
          <w:lang w:val="en-US" w:eastAsia="zh-CN"/>
        </w:rPr>
      </w:pPr>
      <w:r>
        <w:rPr>
          <w:rFonts w:hint="eastAsia"/>
          <w:lang w:val="en-US" w:eastAsia="zh-CN"/>
        </w:rPr>
        <w:t>④</w:t>
      </w:r>
      <w:r>
        <w:rPr>
          <w:rFonts w:hint="default"/>
          <w:lang w:val="en-US" w:eastAsia="zh-CN"/>
        </w:rPr>
        <w:t>人工打捞、打捞藻浆处置同</w:t>
      </w:r>
      <w:r>
        <w:rPr>
          <w:rFonts w:hint="eastAsia"/>
          <w:lang w:val="en-US" w:eastAsia="zh-CN"/>
        </w:rPr>
        <w:t>上</w:t>
      </w:r>
      <w:r>
        <w:rPr>
          <w:rFonts w:hint="default"/>
          <w:lang w:val="en-US" w:eastAsia="zh-CN"/>
        </w:rPr>
        <w:t>。</w:t>
      </w:r>
    </w:p>
    <w:p w14:paraId="5BE95CC0">
      <w:pPr>
        <w:bidi w:val="0"/>
        <w:rPr>
          <w:rFonts w:hint="default"/>
          <w:lang w:val="en-US" w:eastAsia="zh-CN"/>
        </w:rPr>
      </w:pPr>
      <w:r>
        <w:rPr>
          <w:rFonts w:hint="eastAsia"/>
          <w:lang w:val="en-US" w:eastAsia="zh-CN"/>
        </w:rPr>
        <w:t>（2）</w:t>
      </w:r>
      <w:r>
        <w:rPr>
          <w:rFonts w:hint="default"/>
          <w:lang w:val="en-US" w:eastAsia="zh-CN"/>
        </w:rPr>
        <w:t>二级响应</w:t>
      </w:r>
    </w:p>
    <w:p w14:paraId="2AA6358F">
      <w:pPr>
        <w:bidi w:val="0"/>
        <w:rPr>
          <w:rFonts w:hint="default"/>
          <w:lang w:val="en-US" w:eastAsia="zh-CN"/>
        </w:rPr>
      </w:pPr>
      <w:r>
        <w:rPr>
          <w:rFonts w:hint="eastAsia"/>
          <w:lang w:val="en-US" w:eastAsia="zh-CN"/>
        </w:rPr>
        <w:t>①</w:t>
      </w:r>
      <w:r>
        <w:rPr>
          <w:rFonts w:hint="default"/>
          <w:lang w:val="en-US" w:eastAsia="zh-CN"/>
        </w:rPr>
        <w:t>总体技术应以水力调节、曝气推流+气浮隔离富集装置导流+人工/机械打捞为主。取水口应设置2层200目的围格拦截蓝藻。</w:t>
      </w:r>
    </w:p>
    <w:p w14:paraId="2A5C9B03">
      <w:pPr>
        <w:bidi w:val="0"/>
        <w:rPr>
          <w:rFonts w:hint="default"/>
          <w:lang w:val="en-US" w:eastAsia="zh-CN"/>
        </w:rPr>
      </w:pPr>
      <w:r>
        <w:rPr>
          <w:rFonts w:hint="eastAsia"/>
          <w:lang w:val="en-US" w:eastAsia="zh-CN"/>
        </w:rPr>
        <w:t>②</w:t>
      </w:r>
      <w:r>
        <w:rPr>
          <w:rFonts w:hint="default"/>
          <w:lang w:val="en-US" w:eastAsia="zh-CN"/>
        </w:rPr>
        <w:t>曝气推流、气浮隔离富集以及人工打捞同</w:t>
      </w:r>
      <w:r>
        <w:rPr>
          <w:rFonts w:hint="eastAsia"/>
          <w:lang w:val="en-US" w:eastAsia="zh-CN"/>
        </w:rPr>
        <w:t>上</w:t>
      </w:r>
      <w:r>
        <w:rPr>
          <w:rFonts w:hint="default"/>
          <w:lang w:val="en-US" w:eastAsia="zh-CN"/>
        </w:rPr>
        <w:t>，机械打捞同</w:t>
      </w:r>
      <w:r>
        <w:rPr>
          <w:rFonts w:hint="eastAsia"/>
          <w:lang w:val="en-US" w:eastAsia="zh-CN"/>
        </w:rPr>
        <w:t>上</w:t>
      </w:r>
      <w:r>
        <w:rPr>
          <w:rFonts w:hint="default"/>
          <w:lang w:val="en-US" w:eastAsia="zh-CN"/>
        </w:rPr>
        <w:t>，水力调节同</w:t>
      </w:r>
      <w:r>
        <w:rPr>
          <w:rFonts w:hint="eastAsia"/>
          <w:lang w:val="en-US" w:eastAsia="zh-CN"/>
        </w:rPr>
        <w:t>上</w:t>
      </w:r>
      <w:r>
        <w:rPr>
          <w:rFonts w:hint="default"/>
          <w:lang w:val="en-US" w:eastAsia="zh-CN"/>
        </w:rPr>
        <w:t>。</w:t>
      </w:r>
    </w:p>
    <w:p w14:paraId="2033F280">
      <w:pPr>
        <w:bidi w:val="0"/>
        <w:rPr>
          <w:rFonts w:hint="default"/>
          <w:lang w:val="en-US" w:eastAsia="zh-CN"/>
        </w:rPr>
      </w:pPr>
      <w:r>
        <w:rPr>
          <w:rFonts w:hint="eastAsia"/>
          <w:lang w:val="en-US" w:eastAsia="zh-CN"/>
        </w:rPr>
        <w:t>③</w:t>
      </w:r>
      <w:r>
        <w:rPr>
          <w:rFonts w:hint="default"/>
          <w:lang w:val="en-US" w:eastAsia="zh-CN"/>
        </w:rPr>
        <w:t>打捞藻浆和藻泥同</w:t>
      </w:r>
      <w:r>
        <w:rPr>
          <w:rFonts w:hint="eastAsia"/>
          <w:lang w:val="en-US" w:eastAsia="zh-CN"/>
        </w:rPr>
        <w:t>上</w:t>
      </w:r>
      <w:r>
        <w:rPr>
          <w:rFonts w:hint="default"/>
          <w:lang w:val="en-US" w:eastAsia="zh-CN"/>
        </w:rPr>
        <w:t>。</w:t>
      </w:r>
    </w:p>
    <w:p w14:paraId="23ADFC79">
      <w:pPr>
        <w:bidi w:val="0"/>
        <w:rPr>
          <w:rFonts w:hint="default"/>
          <w:lang w:val="en-US" w:eastAsia="zh-CN"/>
        </w:rPr>
      </w:pPr>
      <w:r>
        <w:rPr>
          <w:rFonts w:hint="eastAsia"/>
          <w:lang w:val="en-US" w:eastAsia="zh-CN"/>
        </w:rPr>
        <w:t>（3）</w:t>
      </w:r>
      <w:r>
        <w:rPr>
          <w:rFonts w:hint="default"/>
          <w:lang w:val="en-US" w:eastAsia="zh-CN"/>
        </w:rPr>
        <w:t>一级响应</w:t>
      </w:r>
    </w:p>
    <w:p w14:paraId="27B4958C">
      <w:pPr>
        <w:bidi w:val="0"/>
        <w:rPr>
          <w:rFonts w:hint="default"/>
          <w:lang w:val="en-US" w:eastAsia="zh-CN"/>
        </w:rPr>
      </w:pPr>
      <w:r>
        <w:rPr>
          <w:rFonts w:hint="eastAsia"/>
          <w:lang w:val="en-US" w:eastAsia="zh-CN"/>
        </w:rPr>
        <w:t>①</w:t>
      </w:r>
      <w:r>
        <w:rPr>
          <w:rFonts w:hint="default"/>
          <w:lang w:val="en-US" w:eastAsia="zh-CN"/>
        </w:rPr>
        <w:t>总体技术应以水力调节、曝气推流+气浮隔离富集装置导流+机械打捞、化学杀藻、非经典生物控藻技术为主。取水口应设置2层200目的围格拦截蓝藻。</w:t>
      </w:r>
    </w:p>
    <w:p w14:paraId="17A2E44E">
      <w:pPr>
        <w:bidi w:val="0"/>
        <w:rPr>
          <w:rFonts w:hint="default"/>
          <w:lang w:val="en-US" w:eastAsia="zh-CN"/>
        </w:rPr>
      </w:pPr>
      <w:r>
        <w:rPr>
          <w:rFonts w:hint="eastAsia"/>
          <w:lang w:val="en-US" w:eastAsia="zh-CN"/>
        </w:rPr>
        <w:t>②</w:t>
      </w:r>
      <w:r>
        <w:rPr>
          <w:rFonts w:hint="default"/>
          <w:lang w:val="en-US" w:eastAsia="zh-CN"/>
        </w:rPr>
        <w:t>曝气推流和气浮隔离富集同</w:t>
      </w:r>
      <w:r>
        <w:rPr>
          <w:rFonts w:hint="eastAsia"/>
          <w:lang w:val="en-US" w:eastAsia="zh-CN"/>
        </w:rPr>
        <w:t>上</w:t>
      </w:r>
      <w:r>
        <w:rPr>
          <w:rFonts w:hint="default"/>
          <w:lang w:val="en-US" w:eastAsia="zh-CN"/>
        </w:rPr>
        <w:t>，机械打捞、化学杀藻以及非经典生物控藻同</w:t>
      </w:r>
      <w:r>
        <w:rPr>
          <w:rFonts w:hint="eastAsia"/>
          <w:lang w:val="en-US" w:eastAsia="zh-CN"/>
        </w:rPr>
        <w:t>上</w:t>
      </w:r>
      <w:r>
        <w:rPr>
          <w:rFonts w:hint="default"/>
          <w:lang w:val="en-US" w:eastAsia="zh-CN"/>
        </w:rPr>
        <w:t>，水力调节同</w:t>
      </w:r>
      <w:r>
        <w:rPr>
          <w:rFonts w:hint="eastAsia"/>
          <w:lang w:val="en-US" w:eastAsia="zh-CN"/>
        </w:rPr>
        <w:t>上</w:t>
      </w:r>
      <w:r>
        <w:rPr>
          <w:rFonts w:hint="default"/>
          <w:lang w:val="en-US" w:eastAsia="zh-CN"/>
        </w:rPr>
        <w:t>。</w:t>
      </w:r>
    </w:p>
    <w:p w14:paraId="1D1E7FBE">
      <w:pPr>
        <w:bidi w:val="0"/>
        <w:rPr>
          <w:rFonts w:hint="default"/>
          <w:lang w:val="en-US" w:eastAsia="zh-CN"/>
        </w:rPr>
      </w:pPr>
      <w:r>
        <w:rPr>
          <w:rFonts w:hint="eastAsia"/>
          <w:lang w:val="en-US" w:eastAsia="zh-CN"/>
        </w:rPr>
        <w:t>③</w:t>
      </w:r>
      <w:r>
        <w:rPr>
          <w:rFonts w:hint="default"/>
          <w:lang w:val="en-US" w:eastAsia="zh-CN"/>
        </w:rPr>
        <w:t>打捞藻浆和藻泥同</w:t>
      </w:r>
      <w:r>
        <w:rPr>
          <w:rFonts w:hint="eastAsia"/>
          <w:lang w:val="en-US" w:eastAsia="zh-CN"/>
        </w:rPr>
        <w:t>上</w:t>
      </w:r>
      <w:r>
        <w:rPr>
          <w:rFonts w:hint="default"/>
          <w:lang w:val="en-US" w:eastAsia="zh-CN"/>
        </w:rPr>
        <w:t>。</w:t>
      </w:r>
    </w:p>
    <w:p w14:paraId="3CB1BFC8">
      <w:pPr>
        <w:pStyle w:val="3"/>
        <w:bidi w:val="0"/>
        <w:rPr>
          <w:rFonts w:hint="default" w:ascii="Times New Roman" w:hAnsi="Times New Roman" w:eastAsia="宋体" w:cs="Times New Roman"/>
          <w:color w:val="auto"/>
          <w:sz w:val="24"/>
          <w:szCs w:val="24"/>
          <w:lang w:val="en-US" w:eastAsia="zh-CN"/>
        </w:rPr>
      </w:pPr>
      <w:bookmarkStart w:id="52" w:name="_Toc15389"/>
      <w:bookmarkStart w:id="53" w:name="_Toc18371"/>
      <w:bookmarkStart w:id="54" w:name="_Toc16376"/>
      <w:r>
        <w:rPr>
          <w:rFonts w:hint="eastAsia" w:cs="Times New Roman"/>
          <w:color w:val="auto"/>
          <w:sz w:val="24"/>
          <w:szCs w:val="24"/>
          <w:lang w:val="en-US" w:eastAsia="zh-CN"/>
        </w:rPr>
        <w:t>5.8</w:t>
      </w:r>
      <w:r>
        <w:rPr>
          <w:rFonts w:hint="default" w:ascii="Times New Roman" w:hAnsi="Times New Roman" w:eastAsia="宋体" w:cs="Times New Roman"/>
          <w:color w:val="auto"/>
          <w:sz w:val="24"/>
          <w:szCs w:val="24"/>
          <w:lang w:val="en-US" w:eastAsia="zh-CN"/>
        </w:rPr>
        <w:t>维护管理和效果监测</w:t>
      </w:r>
      <w:bookmarkEnd w:id="52"/>
      <w:bookmarkEnd w:id="53"/>
      <w:bookmarkEnd w:id="54"/>
    </w:p>
    <w:p w14:paraId="75C7259E">
      <w:pPr>
        <w:bidi w:val="0"/>
        <w:rPr>
          <w:rFonts w:hint="default"/>
          <w:lang w:val="en-US" w:eastAsia="zh-CN"/>
        </w:rPr>
      </w:pPr>
      <w:r>
        <w:rPr>
          <w:rFonts w:hint="eastAsia"/>
          <w:lang w:val="en-US" w:eastAsia="zh-CN"/>
        </w:rPr>
        <w:t>（1）</w:t>
      </w:r>
      <w:r>
        <w:rPr>
          <w:rFonts w:hint="default"/>
          <w:lang w:val="en-US" w:eastAsia="zh-CN"/>
        </w:rPr>
        <w:t>应定期检查蓝藻水华气浮隔离富集装置。检查围隔的固定桩是否稳定，抗风浪拦截裙布、浮体以及导流设施是否有损坏，及时对破损的结构进行修复或重新制作安装。管护频率应为每月1次。</w:t>
      </w:r>
    </w:p>
    <w:p w14:paraId="68F9A1BA">
      <w:pPr>
        <w:bidi w:val="0"/>
        <w:rPr>
          <w:rFonts w:hint="default"/>
          <w:lang w:val="en-US" w:eastAsia="zh-CN"/>
        </w:rPr>
      </w:pPr>
      <w:r>
        <w:rPr>
          <w:rFonts w:hint="eastAsia"/>
          <w:lang w:val="en-US" w:eastAsia="zh-CN"/>
        </w:rPr>
        <w:t>（2）</w:t>
      </w:r>
      <w:r>
        <w:rPr>
          <w:rFonts w:hint="default"/>
          <w:lang w:val="en-US" w:eastAsia="zh-CN"/>
        </w:rPr>
        <w:t>应对自动船载藻水分离专业设备设施的核心部件进行定期检查维护，发现损坏及时进行修补。</w:t>
      </w:r>
    </w:p>
    <w:p w14:paraId="6DD87E5A">
      <w:pPr>
        <w:bidi w:val="0"/>
        <w:rPr>
          <w:rFonts w:hint="default"/>
          <w:lang w:val="en-US" w:eastAsia="zh-CN"/>
        </w:rPr>
      </w:pPr>
      <w:r>
        <w:rPr>
          <w:rFonts w:hint="eastAsia"/>
          <w:lang w:val="en-US" w:eastAsia="zh-CN"/>
        </w:rPr>
        <w:t>（3）</w:t>
      </w:r>
      <w:r>
        <w:rPr>
          <w:rFonts w:hint="default"/>
          <w:lang w:val="en-US" w:eastAsia="zh-CN"/>
        </w:rPr>
        <w:t>在设施运行过程中，随时对蓝藻水华控制设施的主要工艺环节进行检查，重点关注藻水分离和藻泥处置环节是否运行正常。</w:t>
      </w:r>
    </w:p>
    <w:p w14:paraId="72D36743">
      <w:pPr>
        <w:bidi w:val="0"/>
        <w:rPr>
          <w:rFonts w:hint="default"/>
          <w:lang w:val="en-US" w:eastAsia="zh-CN"/>
        </w:rPr>
      </w:pPr>
      <w:r>
        <w:rPr>
          <w:rFonts w:hint="eastAsia"/>
          <w:lang w:val="en-US" w:eastAsia="zh-CN"/>
        </w:rPr>
        <w:t>（4）</w:t>
      </w:r>
      <w:r>
        <w:rPr>
          <w:rFonts w:hint="default"/>
          <w:lang w:val="en-US" w:eastAsia="zh-CN"/>
        </w:rPr>
        <w:t>水华控制效果的日常监测和加密监测宜符合以下要求：</w:t>
      </w:r>
    </w:p>
    <w:p w14:paraId="6E54E918">
      <w:pPr>
        <w:bidi w:val="0"/>
        <w:rPr>
          <w:rFonts w:hint="default"/>
          <w:lang w:val="en-US" w:eastAsia="zh-CN"/>
        </w:rPr>
      </w:pPr>
      <w:r>
        <w:rPr>
          <w:rFonts w:hint="default"/>
          <w:lang w:val="en-US" w:eastAsia="zh-CN"/>
        </w:rPr>
        <w:t>a）日常监测通常按工程需要，每天或定期进行常规调查，调查指标包括藻密度、水华面积比例、藻毒素-LR含量、土臭素、2-二甲基异莰醇以及水质指标等；</w:t>
      </w:r>
    </w:p>
    <w:p w14:paraId="1B298CA8">
      <w:pPr>
        <w:bidi w:val="0"/>
        <w:rPr>
          <w:rFonts w:hint="default"/>
          <w:lang w:val="en-US" w:eastAsia="zh-CN"/>
        </w:rPr>
      </w:pPr>
      <w:r>
        <w:rPr>
          <w:rFonts w:hint="default"/>
          <w:lang w:val="en-US" w:eastAsia="zh-CN"/>
        </w:rPr>
        <w:t>b）对于饮用水源地水华控制，考虑到水华控制的时效性，若需开展加密调查监测，可每天监测2~3次；</w:t>
      </w:r>
    </w:p>
    <w:p w14:paraId="5208B328">
      <w:pPr>
        <w:bidi w:val="0"/>
        <w:rPr>
          <w:rFonts w:hint="default" w:ascii="Times New Roman" w:hAnsi="Times New Roman" w:eastAsia="宋体" w:cs="Times New Roman"/>
          <w:szCs w:val="24"/>
          <w:lang w:val="en-US" w:eastAsia="zh-CN"/>
        </w:rPr>
      </w:pPr>
      <w:r>
        <w:rPr>
          <w:rFonts w:hint="default"/>
          <w:lang w:val="en-US" w:eastAsia="zh-CN"/>
        </w:rPr>
        <w:t>c）通过日常监测和加密监测结果，分析蓝藻水华控制效果，判断结果的正</w:t>
      </w:r>
      <w:r>
        <w:rPr>
          <w:rFonts w:hint="default" w:ascii="Times New Roman" w:hAnsi="Times New Roman" w:eastAsia="宋体" w:cs="Times New Roman"/>
          <w:color w:val="auto"/>
          <w:szCs w:val="24"/>
          <w:lang w:val="en-US" w:eastAsia="zh-CN"/>
        </w:rPr>
        <w:t>确性及异常性；如遇异常情况，及时采取应对措施</w:t>
      </w:r>
    </w:p>
    <w:p w14:paraId="6FB1608E">
      <w:pPr>
        <w:pStyle w:val="2"/>
        <w:bidi w:val="0"/>
        <w:rPr>
          <w:rFonts w:hint="eastAsia"/>
          <w:lang w:val="en-US" w:eastAsia="zh-CN"/>
        </w:rPr>
      </w:pPr>
      <w:r>
        <w:rPr>
          <w:rFonts w:hint="eastAsia"/>
          <w:lang w:val="en-US" w:eastAsia="zh-CN"/>
        </w:rPr>
        <w:t>6、与现行法律法规、强制性国家标准等协调配套情况</w:t>
      </w:r>
    </w:p>
    <w:p w14:paraId="2A03F3D5">
      <w:pPr>
        <w:bidi w:val="0"/>
        <w:ind w:firstLine="480" w:firstLineChars="200"/>
        <w:rPr>
          <w:rFonts w:hint="default"/>
          <w:lang w:val="en-US" w:eastAsia="zh-CN"/>
        </w:rPr>
      </w:pPr>
      <w:r>
        <w:rPr>
          <w:rFonts w:hint="default"/>
          <w:lang w:val="en-US" w:eastAsia="zh-CN"/>
        </w:rPr>
        <w:t>制标主要原则是遵守《中华人民共和国标准化法》、《中华人民共和国环境保护法》、《国家标准管理办法》、《江西省地方标准管理办法》等法律法规。</w:t>
      </w:r>
    </w:p>
    <w:p w14:paraId="7AC4ED6D">
      <w:pPr>
        <w:bidi w:val="0"/>
        <w:rPr>
          <w:rFonts w:hint="default"/>
          <w:lang w:val="en-US" w:eastAsia="zh-CN"/>
        </w:rPr>
      </w:pPr>
      <w:r>
        <w:rPr>
          <w:rFonts w:hint="default"/>
          <w:lang w:val="en-US" w:eastAsia="zh-CN"/>
        </w:rPr>
        <w:t>本地方标准的编写内容与格式严格按照GB/T 1.1-2020《标准化工作导则 第1部分：标准化文件的结构和起草规则》的要求进行，遵守“统一性、协调性、适用性、一致性、规范性”的原则。</w:t>
      </w:r>
    </w:p>
    <w:p w14:paraId="0404C032">
      <w:pPr>
        <w:bidi w:val="0"/>
        <w:ind w:firstLine="480" w:firstLineChars="200"/>
        <w:rPr>
          <w:rFonts w:hint="default"/>
          <w:lang w:val="en-US" w:eastAsia="zh-CN"/>
        </w:rPr>
      </w:pPr>
      <w:r>
        <w:rPr>
          <w:rFonts w:hint="default"/>
          <w:lang w:val="en-US" w:eastAsia="zh-CN"/>
        </w:rPr>
        <w:t>在标准制定过程中，该标准的技术指标、监测方法、技术参数的设定，结合了蓝藻应急原位处理的相关研究和实践情况，充分参考了相关国家标准和相关规范，广泛调研，保证了标准的科学性、规范性、时效性、针对性。其中蓝藻水华监测方法参照HJ 1098《水华遥感与地面监测评价技术规范》，藻毒素-MCLR含量测定方法参照GBT 20466《水中微囊藻毒素的测定》，土臭素和2-二甲基异莰醇测定方法参照GB/T 32470《生活饮用水臭味物质 土臭素和2-甲基异莰醇检验方法》，常规水质指标参照水和废水监测方法（第四版增补版），蓝藻水华应急防控技术充分参考了国内外应用蓝藻应急原位处理实际工程设计、施工及运营情况，充分保证该标准在实际应用工程实践的实用性。</w:t>
      </w:r>
    </w:p>
    <w:p w14:paraId="0BFC4DF2">
      <w:pPr>
        <w:bidi w:val="0"/>
        <w:ind w:firstLine="480" w:firstLineChars="200"/>
        <w:rPr>
          <w:rFonts w:hint="default"/>
          <w:lang w:val="en-US" w:eastAsia="zh-CN"/>
        </w:rPr>
      </w:pPr>
      <w:r>
        <w:rPr>
          <w:rFonts w:hint="default"/>
          <w:lang w:val="en-US" w:eastAsia="zh-CN"/>
        </w:rPr>
        <w:t>本标准制定的原则和依据是立足需求，突出重点。依据省标准化战略领导小组办公室关于做好地方标准管理工作的通知要求开展，围绕我省饮用水水源地蓝藻水华应急防控技术要求进行起草</w:t>
      </w:r>
      <w:r>
        <w:rPr>
          <w:rFonts w:hint="eastAsia"/>
          <w:lang w:val="en-US" w:eastAsia="zh-CN"/>
        </w:rPr>
        <w:t>。</w:t>
      </w:r>
    </w:p>
    <w:p w14:paraId="085DA283">
      <w:pPr>
        <w:pStyle w:val="2"/>
        <w:bidi w:val="0"/>
        <w:rPr>
          <w:rFonts w:hint="default"/>
          <w:lang w:val="en-US" w:eastAsia="zh-CN"/>
        </w:rPr>
      </w:pPr>
      <w:r>
        <w:rPr>
          <w:rFonts w:hint="eastAsia"/>
          <w:lang w:val="en-US" w:eastAsia="zh-CN"/>
        </w:rPr>
        <w:t>7、</w:t>
      </w:r>
      <w:r>
        <w:rPr>
          <w:rFonts w:hint="eastAsia"/>
        </w:rPr>
        <w:t>与国家标准、行业标准、省地方标准的一致性程度，所在领域标准体系现状及缺失标准情况</w:t>
      </w:r>
    </w:p>
    <w:p w14:paraId="75280670">
      <w:pPr>
        <w:bidi w:val="0"/>
        <w:ind w:firstLine="480" w:firstLineChars="200"/>
        <w:rPr>
          <w:rFonts w:hint="eastAsia"/>
          <w:lang w:val="en-US" w:eastAsia="zh-CN"/>
        </w:rPr>
      </w:pPr>
      <w:r>
        <w:rPr>
          <w:rFonts w:hint="eastAsia"/>
        </w:rPr>
        <w:t>目前，</w:t>
      </w:r>
      <w:r>
        <w:rPr>
          <w:rFonts w:hint="default"/>
        </w:rPr>
        <w:t>国内外针对湖泊或水库蓝藻水华控制技术的标准、指南或规范</w:t>
      </w:r>
      <w:r>
        <w:rPr>
          <w:rFonts w:hint="eastAsia"/>
          <w:lang w:val="en-US" w:eastAsia="zh-CN"/>
        </w:rPr>
        <w:t>仍欠缺</w:t>
      </w:r>
      <w:r>
        <w:rPr>
          <w:rFonts w:hint="default"/>
        </w:rPr>
        <w:t>，仅在相关标准中有一些涉及，如2010年生态环境部发布的《分散式饮用水水源地环境保护指南》规定了当分散式饮用水水源发生藻类水华时，采用更换水源、机械打捞、工程物理、生物控藻技术来控制水华等；2012年生态环境部发布的《集中式饮用水水源环境保护指南</w:t>
      </w:r>
      <w:bookmarkStart w:id="55" w:name="_GoBack"/>
      <w:bookmarkEnd w:id="55"/>
      <w:r>
        <w:rPr>
          <w:rFonts w:hint="default"/>
        </w:rPr>
        <w:t>》规定了当饮用水水源发生藻类水华时，采用更换水源、机械打捞、生物控藻、生物浮岛、生态护坡和底泥清淤技术来控制水华；2017年环境保护部（现生态环境部）发布的《湖(库)富营养化防治技术政策》鼓励研发水华蓝藻收集、浓缩、处理处置技</w:t>
      </w:r>
      <w:r>
        <w:rPr>
          <w:rFonts w:hint="eastAsia"/>
          <w:lang w:val="en-US" w:eastAsia="zh-CN"/>
        </w:rPr>
        <w:t xml:space="preserve"> </w:t>
      </w:r>
      <w:r>
        <w:rPr>
          <w:rFonts w:hint="default"/>
        </w:rPr>
        <w:t>术及装备，中低浓度水华蓝藻浓聚与处理处置技术；2022年中国环境科学学会发布《湖库蓝藻水华应急控制技术指南》中针对不同水功能区提出了蓝藻水华应急控制技术的选择要求</w:t>
      </w:r>
      <w:r>
        <w:rPr>
          <w:rFonts w:hint="eastAsia"/>
          <w:lang w:eastAsia="zh-CN"/>
        </w:rPr>
        <w:t>。虽然上述标准中对蓝藻水华控制技术有多规定，</w:t>
      </w:r>
      <w:r>
        <w:rPr>
          <w:rFonts w:hint="eastAsia"/>
        </w:rPr>
        <w:t>但这些标准对于不同类型饮用水水源地</w:t>
      </w:r>
      <w:r>
        <w:rPr>
          <w:rFonts w:hint="eastAsia"/>
          <w:lang w:val="en-US" w:eastAsia="zh-CN"/>
        </w:rPr>
        <w:t>暴发不同程度</w:t>
      </w:r>
      <w:r>
        <w:rPr>
          <w:rFonts w:hint="eastAsia"/>
        </w:rPr>
        <w:t>蓝藻水华</w:t>
      </w:r>
      <w:r>
        <w:rPr>
          <w:rFonts w:hint="eastAsia"/>
          <w:lang w:val="en-US" w:eastAsia="zh-CN"/>
        </w:rPr>
        <w:t>时，并未明确规定针对性</w:t>
      </w:r>
      <w:r>
        <w:rPr>
          <w:rFonts w:hint="eastAsia"/>
        </w:rPr>
        <w:t>控制技术，尤其是我省水系、水情复杂，国家的相关标准可能无法很好指导我省开展蓝藻水华应急防控工作</w:t>
      </w:r>
      <w:r>
        <w:rPr>
          <w:rFonts w:hint="eastAsia"/>
          <w:lang w:eastAsia="zh-CN"/>
        </w:rPr>
        <w:t>。</w:t>
      </w:r>
      <w:r>
        <w:rPr>
          <w:rFonts w:hint="eastAsia"/>
        </w:rPr>
        <w:t>本标准在已颁布标准基础上，针对性提出不同水体、不同藻情的应急防控技术，能更为有效保障</w:t>
      </w:r>
      <w:r>
        <w:rPr>
          <w:rFonts w:hint="eastAsia"/>
          <w:lang w:val="en-US" w:eastAsia="zh-CN"/>
        </w:rPr>
        <w:t>我省</w:t>
      </w:r>
      <w:r>
        <w:rPr>
          <w:rFonts w:hint="eastAsia"/>
        </w:rPr>
        <w:t>饮用水安全</w:t>
      </w:r>
      <w:r>
        <w:rPr>
          <w:rFonts w:hint="eastAsia"/>
          <w:lang w:eastAsia="zh-CN"/>
        </w:rPr>
        <w:t>。</w:t>
      </w:r>
    </w:p>
    <w:p w14:paraId="549DC2AE">
      <w:pPr>
        <w:pStyle w:val="2"/>
        <w:bidi w:val="0"/>
        <w:rPr>
          <w:rFonts w:hint="default"/>
          <w:lang w:val="en-US" w:eastAsia="zh-CN"/>
        </w:rPr>
      </w:pPr>
      <w:r>
        <w:rPr>
          <w:rFonts w:hint="eastAsia"/>
          <w:lang w:val="en-US" w:eastAsia="zh-CN"/>
        </w:rPr>
        <w:t>8、</w:t>
      </w:r>
      <w:r>
        <w:rPr>
          <w:rFonts w:hint="eastAsia"/>
        </w:rPr>
        <w:t>技术的先进性、创新性、科学性和产业发展实力情况</w:t>
      </w:r>
    </w:p>
    <w:p w14:paraId="136E71A8">
      <w:pPr>
        <w:pStyle w:val="3"/>
        <w:bidi w:val="0"/>
        <w:rPr>
          <w:rFonts w:hint="eastAsia"/>
          <w:lang w:val="en-US" w:eastAsia="zh-CN"/>
        </w:rPr>
      </w:pPr>
      <w:r>
        <w:rPr>
          <w:rFonts w:hint="eastAsia"/>
          <w:lang w:val="en-US" w:eastAsia="zh-CN"/>
        </w:rPr>
        <w:t>8.1技术的先进性</w:t>
      </w:r>
    </w:p>
    <w:p w14:paraId="3F2AC9C1">
      <w:pPr>
        <w:bidi w:val="0"/>
        <w:ind w:firstLine="480" w:firstLineChars="200"/>
        <w:rPr>
          <w:rFonts w:hint="eastAsia"/>
          <w:lang w:val="en-US" w:eastAsia="zh-CN"/>
        </w:rPr>
      </w:pPr>
      <w:r>
        <w:rPr>
          <w:rFonts w:hint="eastAsia"/>
          <w:lang w:val="en-US" w:eastAsia="zh-CN"/>
        </w:rPr>
        <w:t>本标准中蓝藻水华监测采用国家颁布的遥感监测方法和地面监测方法，水质监测增加了最新的生活饮用水卫生标准中要求的土臭素和2-甲基异莰醇，蓝藻水华防控技术借鉴了国内外相关方向的最新成果，确保了指南的先进性，能够适应不断变化的水环境和水质管理需求。</w:t>
      </w:r>
    </w:p>
    <w:p w14:paraId="692FFC63">
      <w:pPr>
        <w:pStyle w:val="3"/>
        <w:bidi w:val="0"/>
        <w:rPr>
          <w:rFonts w:hint="default"/>
          <w:lang w:val="en-US" w:eastAsia="zh-CN"/>
        </w:rPr>
      </w:pPr>
      <w:r>
        <w:rPr>
          <w:rFonts w:hint="eastAsia"/>
          <w:lang w:val="en-US" w:eastAsia="zh-CN"/>
        </w:rPr>
        <w:t>8.2技术的创新性</w:t>
      </w:r>
    </w:p>
    <w:p w14:paraId="05D3797C">
      <w:pPr>
        <w:bidi w:val="0"/>
        <w:ind w:firstLine="480" w:firstLineChars="200"/>
        <w:rPr>
          <w:rFonts w:hint="eastAsia"/>
          <w:lang w:val="en-US" w:eastAsia="zh-CN"/>
        </w:rPr>
      </w:pPr>
      <w:r>
        <w:rPr>
          <w:rFonts w:hint="eastAsia"/>
          <w:lang w:val="en-US" w:eastAsia="zh-CN"/>
        </w:rPr>
        <w:t>本标准中根据蓝藻水华空间分布的差异性，兼顾蓝藻水华应急处置经济、高效、节能、环保的要求，创新性构建了饮用水水源地蓝藻水华预警/响应分级系统，为应对不同水体、不同藻情提供针对性蓝藻水华应急防控方案。</w:t>
      </w:r>
    </w:p>
    <w:p w14:paraId="6E645E53">
      <w:pPr>
        <w:pStyle w:val="3"/>
        <w:bidi w:val="0"/>
        <w:rPr>
          <w:rFonts w:hint="default"/>
          <w:lang w:val="en-US" w:eastAsia="zh-CN"/>
        </w:rPr>
      </w:pPr>
      <w:r>
        <w:rPr>
          <w:rFonts w:hint="eastAsia"/>
          <w:lang w:val="en-US" w:eastAsia="zh-CN"/>
        </w:rPr>
        <w:t>8.3技术的科学性</w:t>
      </w:r>
    </w:p>
    <w:p w14:paraId="7B2176DB">
      <w:pPr>
        <w:bidi w:val="0"/>
        <w:ind w:firstLine="480" w:firstLineChars="200"/>
        <w:rPr>
          <w:rFonts w:hint="eastAsia"/>
        </w:rPr>
      </w:pPr>
      <w:r>
        <w:rPr>
          <w:rFonts w:hint="eastAsia"/>
          <w:lang w:val="en-US" w:eastAsia="zh-CN"/>
        </w:rPr>
        <w:t>本标准的</w:t>
      </w:r>
      <w:r>
        <w:rPr>
          <w:rFonts w:hint="eastAsia"/>
        </w:rPr>
        <w:t>制定基于充分的科学依据，结合水体生态学、微生物学、环境化学等相关学科的研究成果</w:t>
      </w:r>
      <w:r>
        <w:rPr>
          <w:rFonts w:hint="eastAsia"/>
          <w:lang w:eastAsia="zh-CN"/>
        </w:rPr>
        <w:t>，</w:t>
      </w:r>
      <w:r>
        <w:rPr>
          <w:rFonts w:hint="eastAsia"/>
          <w:lang w:val="en-US" w:eastAsia="zh-CN"/>
        </w:rPr>
        <w:t>通过</w:t>
      </w:r>
      <w:r>
        <w:rPr>
          <w:rFonts w:hint="eastAsia"/>
        </w:rPr>
        <w:t>对水源地特征、水华发生机理、应急防控措施效果等方面的深入研究，提出</w:t>
      </w:r>
      <w:r>
        <w:rPr>
          <w:rFonts w:hint="eastAsia"/>
          <w:lang w:val="en-US" w:eastAsia="zh-CN"/>
        </w:rPr>
        <w:t>饮用水水源地蓝藻水华应急防控</w:t>
      </w:r>
      <w:r>
        <w:rPr>
          <w:rFonts w:hint="eastAsia"/>
        </w:rPr>
        <w:t>的技术建议。</w:t>
      </w:r>
    </w:p>
    <w:p w14:paraId="2FC3789A">
      <w:pPr>
        <w:pStyle w:val="3"/>
        <w:bidi w:val="0"/>
        <w:rPr>
          <w:rFonts w:hint="eastAsia"/>
          <w:lang w:val="en-US" w:eastAsia="zh-CN"/>
        </w:rPr>
      </w:pPr>
      <w:r>
        <w:rPr>
          <w:rFonts w:hint="eastAsia"/>
          <w:lang w:val="en-US" w:eastAsia="zh-CN"/>
        </w:rPr>
        <w:t>8.4产业发展实力</w:t>
      </w:r>
    </w:p>
    <w:p w14:paraId="172881A0">
      <w:pPr>
        <w:bidi w:val="0"/>
        <w:ind w:firstLine="480" w:firstLineChars="200"/>
        <w:rPr>
          <w:rFonts w:hint="default"/>
          <w:lang w:val="en-US" w:eastAsia="zh-CN"/>
        </w:rPr>
      </w:pPr>
      <w:r>
        <w:rPr>
          <w:rFonts w:hint="eastAsia"/>
        </w:rPr>
        <w:t>涉及蓝藻水华的应急防控不仅仅是一项环境保护工作，还涉及产业发展。</w:t>
      </w:r>
      <w:r>
        <w:rPr>
          <w:rFonts w:hint="eastAsia"/>
          <w:lang w:val="en-US" w:eastAsia="zh-CN"/>
        </w:rPr>
        <w:t>本指南</w:t>
      </w:r>
      <w:r>
        <w:rPr>
          <w:rFonts w:hint="eastAsia"/>
        </w:rPr>
        <w:t>的制定考虑</w:t>
      </w:r>
      <w:r>
        <w:rPr>
          <w:rFonts w:hint="eastAsia"/>
          <w:lang w:val="en-US" w:eastAsia="zh-CN"/>
        </w:rPr>
        <w:t>了</w:t>
      </w:r>
      <w:r>
        <w:rPr>
          <w:rFonts w:hint="eastAsia"/>
        </w:rPr>
        <w:t>当地的产业结构和实力，</w:t>
      </w:r>
      <w:r>
        <w:rPr>
          <w:rFonts w:hint="eastAsia"/>
          <w:lang w:val="en-US" w:eastAsia="zh-CN"/>
        </w:rPr>
        <w:t>将</w:t>
      </w:r>
      <w:r>
        <w:rPr>
          <w:rFonts w:hint="eastAsia"/>
        </w:rPr>
        <w:t>推动相关产业的发展，如环保工程、水处理设备制造、科研机构合作等，形成健康的产业生态。</w:t>
      </w:r>
    </w:p>
    <w:p w14:paraId="48FFD5BC">
      <w:pPr>
        <w:pStyle w:val="2"/>
        <w:bidi w:val="0"/>
        <w:rPr>
          <w:rFonts w:hint="default"/>
          <w:lang w:val="en-US" w:eastAsia="zh-CN"/>
        </w:rPr>
      </w:pPr>
      <w:r>
        <w:rPr>
          <w:rFonts w:hint="eastAsia"/>
          <w:lang w:val="en-US" w:eastAsia="zh-CN"/>
        </w:rPr>
        <w:t>9、标准</w:t>
      </w:r>
      <w:r>
        <w:rPr>
          <w:rFonts w:hint="eastAsia"/>
        </w:rPr>
        <w:t>实施建议，预期的作用和效益等</w:t>
      </w:r>
    </w:p>
    <w:p w14:paraId="5631F8B0">
      <w:pPr>
        <w:pStyle w:val="3"/>
        <w:bidi w:val="0"/>
        <w:rPr>
          <w:rFonts w:hint="eastAsia"/>
          <w:lang w:val="en-US" w:eastAsia="zh-CN"/>
        </w:rPr>
      </w:pPr>
      <w:r>
        <w:rPr>
          <w:rFonts w:hint="eastAsia"/>
          <w:lang w:val="en-US" w:eastAsia="zh-CN"/>
        </w:rPr>
        <w:t>9.1实施主体</w:t>
      </w:r>
    </w:p>
    <w:p w14:paraId="13D77E3E">
      <w:pPr>
        <w:bidi w:val="0"/>
        <w:ind w:firstLine="480" w:firstLineChars="200"/>
        <w:rPr>
          <w:rFonts w:hint="eastAsia"/>
          <w:lang w:val="en-US" w:eastAsia="zh-CN"/>
        </w:rPr>
      </w:pPr>
      <w:r>
        <w:rPr>
          <w:rFonts w:hint="eastAsia"/>
          <w:lang w:val="en-US" w:eastAsia="zh-CN"/>
        </w:rPr>
        <w:t>省生态环境厅组织开展该标准的实施，省标准化主管部门对该标准的实施进行监督检查。</w:t>
      </w:r>
    </w:p>
    <w:p w14:paraId="02570F25">
      <w:pPr>
        <w:pStyle w:val="3"/>
        <w:bidi w:val="0"/>
        <w:rPr>
          <w:rFonts w:hint="eastAsia"/>
          <w:lang w:val="en-US" w:eastAsia="zh-CN"/>
        </w:rPr>
      </w:pPr>
      <w:r>
        <w:rPr>
          <w:rFonts w:hint="eastAsia"/>
          <w:lang w:val="en-US" w:eastAsia="zh-CN"/>
        </w:rPr>
        <w:t>9.2实施建议</w:t>
      </w:r>
    </w:p>
    <w:p w14:paraId="6551DE8F">
      <w:pPr>
        <w:bidi w:val="0"/>
        <w:ind w:firstLine="480" w:firstLineChars="200"/>
        <w:rPr>
          <w:rFonts w:hint="default"/>
          <w:lang w:val="en-US" w:eastAsia="zh-CN"/>
        </w:rPr>
      </w:pPr>
      <w:r>
        <w:rPr>
          <w:rFonts w:hint="default"/>
          <w:lang w:val="en-US" w:eastAsia="zh-CN"/>
        </w:rPr>
        <w:t>本标准规定了</w:t>
      </w:r>
      <w:r>
        <w:rPr>
          <w:rFonts w:hint="eastAsia"/>
          <w:lang w:val="en-US" w:eastAsia="zh-CN"/>
        </w:rPr>
        <w:t>饮用水水源地</w:t>
      </w:r>
      <w:r>
        <w:rPr>
          <w:rFonts w:hint="default"/>
          <w:lang w:val="en-US" w:eastAsia="zh-CN"/>
        </w:rPr>
        <w:t>蓝藻水华</w:t>
      </w:r>
      <w:r>
        <w:rPr>
          <w:rFonts w:hint="eastAsia"/>
          <w:lang w:val="en-US" w:eastAsia="zh-CN"/>
        </w:rPr>
        <w:t>应急防控目标</w:t>
      </w:r>
      <w:r>
        <w:rPr>
          <w:rFonts w:hint="default"/>
          <w:lang w:val="en-US" w:eastAsia="zh-CN"/>
        </w:rPr>
        <w:t>要求，包括一般规定、总体目标、蓝藻水华监测、蓝藻水华分级预警、蓝藻水华应急防控技术、维护管理及效果监测等内容。本标准适用于指导</w:t>
      </w:r>
      <w:r>
        <w:rPr>
          <w:rFonts w:hint="eastAsia"/>
          <w:lang w:val="en-US" w:eastAsia="zh-CN"/>
        </w:rPr>
        <w:t>我省湖库、河流型饮用水水源地的蓝藻水华应急防控，其它水体可参考使用</w:t>
      </w:r>
      <w:r>
        <w:rPr>
          <w:rFonts w:hint="default"/>
          <w:lang w:val="en-US" w:eastAsia="zh-CN"/>
        </w:rPr>
        <w:t>，实际运用时要结合湖库现场实际情况，依据本标准内容灵活运用。</w:t>
      </w:r>
    </w:p>
    <w:p w14:paraId="5A0FBEC3">
      <w:pPr>
        <w:pStyle w:val="3"/>
        <w:bidi w:val="0"/>
        <w:rPr>
          <w:rFonts w:hint="eastAsia"/>
        </w:rPr>
      </w:pPr>
      <w:r>
        <w:rPr>
          <w:rFonts w:hint="eastAsia"/>
          <w:lang w:val="en-US" w:eastAsia="zh-CN"/>
        </w:rPr>
        <w:t>9.3</w:t>
      </w:r>
      <w:r>
        <w:rPr>
          <w:rFonts w:hint="eastAsia"/>
        </w:rPr>
        <w:t>预期的作用和效益</w:t>
      </w:r>
    </w:p>
    <w:p w14:paraId="29B3B967">
      <w:pPr>
        <w:bidi w:val="0"/>
        <w:ind w:firstLine="480" w:firstLineChars="200"/>
        <w:rPr>
          <w:rFonts w:hint="default"/>
        </w:rPr>
      </w:pPr>
      <w:r>
        <w:rPr>
          <w:rFonts w:hint="default"/>
        </w:rPr>
        <w:t>本标准规范和指导了饮用水水源地蓝藻水华应急防控的实施和维护，有利于湖库、河流型饮用水水源地水环境的保护及恢复，对湖库、河流型饮用水水源地蓝藻水华产生的危害具有明显控制作用，将提升</w:t>
      </w:r>
      <w:r>
        <w:rPr>
          <w:rFonts w:hint="eastAsia"/>
          <w:lang w:val="en-US" w:eastAsia="zh-CN"/>
        </w:rPr>
        <w:t>我省</w:t>
      </w:r>
      <w:r>
        <w:rPr>
          <w:rFonts w:hint="default"/>
        </w:rPr>
        <w:t>社会经济的可持续发展潜力，产生生态、经济和社会效益。</w:t>
      </w:r>
    </w:p>
    <w:p w14:paraId="42EA1B93">
      <w:pPr>
        <w:bidi w:val="0"/>
        <w:ind w:firstLine="482" w:firstLineChars="200"/>
        <w:rPr>
          <w:rFonts w:hint="default"/>
          <w:b/>
          <w:bCs/>
        </w:rPr>
      </w:pPr>
      <w:r>
        <w:rPr>
          <w:rFonts w:hint="eastAsia"/>
          <w:b/>
          <w:bCs/>
          <w:lang w:val="en-US" w:eastAsia="zh-CN"/>
        </w:rPr>
        <w:t>（1）</w:t>
      </w:r>
      <w:r>
        <w:rPr>
          <w:rFonts w:hint="default"/>
          <w:b/>
          <w:bCs/>
        </w:rPr>
        <w:t>生态效益</w:t>
      </w:r>
    </w:p>
    <w:p w14:paraId="0CF9C1BC">
      <w:pPr>
        <w:bidi w:val="0"/>
        <w:ind w:firstLine="480" w:firstLineChars="200"/>
        <w:rPr>
          <w:rFonts w:hint="default"/>
        </w:rPr>
      </w:pPr>
      <w:r>
        <w:rPr>
          <w:rFonts w:hint="default"/>
        </w:rPr>
        <w:t>本标准的实施有利于改善湖库、河流型饮用水水源地蓝藻水华状况，缓解蓝藻水华发生后严重堆积聚集来不及打捞腐烂发臭现象，实现蓝藻聚集的“日聚日清”，减少对饮用水源地水质的影响，防止蓝藻严重堆积腐烂对饮用水水源地的水生植物、水生动物等造成影响，为</w:t>
      </w:r>
      <w:r>
        <w:rPr>
          <w:rFonts w:hint="eastAsia"/>
          <w:lang w:val="en-US" w:eastAsia="zh-CN"/>
        </w:rPr>
        <w:t>饮水</w:t>
      </w:r>
      <w:r>
        <w:rPr>
          <w:rFonts w:hint="default"/>
        </w:rPr>
        <w:t>安全提供保障。</w:t>
      </w:r>
    </w:p>
    <w:p w14:paraId="592241A6">
      <w:pPr>
        <w:bidi w:val="0"/>
        <w:ind w:firstLine="482" w:firstLineChars="200"/>
        <w:rPr>
          <w:rFonts w:hint="default" w:ascii="Times New Roman" w:hAnsi="Times New Roman" w:cs="Times New Roman"/>
          <w:b/>
          <w:bCs/>
          <w:lang w:val="en-US" w:eastAsia="zh-CN"/>
        </w:rPr>
      </w:pPr>
      <w:r>
        <w:rPr>
          <w:rFonts w:hint="eastAsia" w:ascii="Times New Roman" w:hAnsi="Times New Roman" w:cs="Times New Roman"/>
          <w:b/>
          <w:bCs/>
          <w:lang w:val="en-US" w:eastAsia="zh-CN"/>
        </w:rPr>
        <w:t>（2）</w:t>
      </w:r>
      <w:r>
        <w:rPr>
          <w:rFonts w:hint="default" w:ascii="Times New Roman" w:hAnsi="Times New Roman" w:cs="Times New Roman"/>
          <w:b/>
          <w:bCs/>
          <w:lang w:val="en-US" w:eastAsia="zh-CN"/>
        </w:rPr>
        <w:t>社会效益</w:t>
      </w:r>
    </w:p>
    <w:p w14:paraId="4C36DE12">
      <w:pPr>
        <w:bidi w:val="0"/>
        <w:ind w:firstLine="480" w:firstLineChars="200"/>
        <w:rPr>
          <w:rFonts w:hint="default"/>
        </w:rPr>
      </w:pPr>
      <w:r>
        <w:rPr>
          <w:rFonts w:hint="eastAsia"/>
          <w:lang w:val="en-US" w:eastAsia="zh-CN"/>
        </w:rPr>
        <w:t>本</w:t>
      </w:r>
      <w:r>
        <w:rPr>
          <w:rFonts w:hint="default"/>
        </w:rPr>
        <w:t>标准的实施有助于提升地方水环境决策、监管、规划和建设能力，促进水污染控制与水环境治理产业的发展，为我</w:t>
      </w:r>
      <w:r>
        <w:rPr>
          <w:rFonts w:hint="eastAsia"/>
          <w:lang w:val="en-US" w:eastAsia="zh-CN"/>
        </w:rPr>
        <w:t>省</w:t>
      </w:r>
      <w:r>
        <w:rPr>
          <w:rFonts w:hint="default"/>
        </w:rPr>
        <w:t>水环境精准管理提供的支撑作用。基于湖库、河流具有提供饮用水源以及重要的科研、教育和观赏价值，科学有效地进行</w:t>
      </w:r>
      <w:r>
        <w:rPr>
          <w:rFonts w:hint="eastAsia"/>
          <w:lang w:val="en-US" w:eastAsia="zh-CN"/>
        </w:rPr>
        <w:t>饮用水水源地</w:t>
      </w:r>
      <w:r>
        <w:rPr>
          <w:rFonts w:hint="default"/>
        </w:rPr>
        <w:t>蓝藻水华控制，不仅可以保护</w:t>
      </w:r>
      <w:r>
        <w:rPr>
          <w:rFonts w:hint="eastAsia"/>
          <w:lang w:val="en-US" w:eastAsia="zh-CN"/>
        </w:rPr>
        <w:t>饮用水水源地</w:t>
      </w:r>
      <w:r>
        <w:rPr>
          <w:rFonts w:hint="default"/>
        </w:rPr>
        <w:t>水生态环境，还可通过提供</w:t>
      </w:r>
      <w:r>
        <w:rPr>
          <w:rFonts w:hint="eastAsia"/>
          <w:lang w:val="en-US" w:eastAsia="zh-CN"/>
        </w:rPr>
        <w:t>饮用水水源地</w:t>
      </w:r>
      <w:r>
        <w:rPr>
          <w:rFonts w:hint="default"/>
        </w:rPr>
        <w:t>方面的科学研究、教育宣传等服务功能，提升民众对</w:t>
      </w:r>
      <w:r>
        <w:rPr>
          <w:rFonts w:hint="eastAsia"/>
          <w:lang w:val="en-US" w:eastAsia="zh-CN"/>
        </w:rPr>
        <w:t>饮用水水源地</w:t>
      </w:r>
      <w:r>
        <w:rPr>
          <w:rFonts w:hint="default"/>
        </w:rPr>
        <w:t>的深入认识，加强公众对</w:t>
      </w:r>
      <w:r>
        <w:rPr>
          <w:rFonts w:hint="eastAsia"/>
          <w:lang w:val="en-US" w:eastAsia="zh-CN"/>
        </w:rPr>
        <w:t>饮用水水源地</w:t>
      </w:r>
      <w:r>
        <w:rPr>
          <w:rFonts w:hint="default"/>
        </w:rPr>
        <w:t>保护的意识。</w:t>
      </w:r>
    </w:p>
    <w:p w14:paraId="59AFF3A8">
      <w:pPr>
        <w:bidi w:val="0"/>
        <w:ind w:firstLine="482" w:firstLineChars="200"/>
        <w:rPr>
          <w:rFonts w:hint="default" w:ascii="Times New Roman" w:hAnsi="Times New Roman" w:cs="Times New Roman"/>
          <w:b/>
          <w:bCs/>
          <w:lang w:val="en-US" w:eastAsia="zh-CN"/>
        </w:rPr>
      </w:pPr>
      <w:r>
        <w:rPr>
          <w:rFonts w:hint="eastAsia" w:ascii="Times New Roman" w:hAnsi="Times New Roman" w:cs="Times New Roman"/>
          <w:b/>
          <w:bCs/>
          <w:lang w:val="en-US" w:eastAsia="zh-CN"/>
        </w:rPr>
        <w:t>（3）</w:t>
      </w:r>
      <w:r>
        <w:rPr>
          <w:rFonts w:hint="default" w:ascii="Times New Roman" w:hAnsi="Times New Roman" w:cs="Times New Roman"/>
          <w:b/>
          <w:bCs/>
          <w:lang w:val="en-US" w:eastAsia="zh-CN"/>
        </w:rPr>
        <w:t>经济效益</w:t>
      </w:r>
    </w:p>
    <w:p w14:paraId="40B06BE8">
      <w:pPr>
        <w:bidi w:val="0"/>
        <w:ind w:firstLine="480" w:firstLineChars="200"/>
        <w:rPr>
          <w:rFonts w:hint="default"/>
          <w:lang w:val="en-US" w:eastAsia="zh-CN"/>
        </w:rPr>
      </w:pPr>
      <w:r>
        <w:rPr>
          <w:rFonts w:hint="default"/>
        </w:rPr>
        <w:t>本标准在建设规模、技术选择、</w:t>
      </w:r>
      <w:r>
        <w:rPr>
          <w:rFonts w:hint="eastAsia"/>
          <w:lang w:val="en-US" w:eastAsia="zh-CN"/>
        </w:rPr>
        <w:t>运维管理</w:t>
      </w:r>
      <w:r>
        <w:rPr>
          <w:rFonts w:hint="default"/>
        </w:rPr>
        <w:t>上充分考虑技术的可行性及技术经济承担能力，在控制</w:t>
      </w:r>
      <w:r>
        <w:rPr>
          <w:rFonts w:hint="eastAsia"/>
          <w:lang w:val="en-US" w:eastAsia="zh-CN"/>
        </w:rPr>
        <w:t>饮用水水源地</w:t>
      </w:r>
      <w:r>
        <w:rPr>
          <w:rFonts w:hint="default"/>
        </w:rPr>
        <w:t>蓝藻水华危害的基础上，依据经济可承担能力适度提升蓝藻水华的控制水平，以期改善水体生态环境，保障饮用水水源安全；也将带动周边蓝藻水华控制技术或行业的规范化快速发展，为</w:t>
      </w:r>
      <w:r>
        <w:rPr>
          <w:rFonts w:hint="eastAsia"/>
          <w:lang w:val="en-US" w:eastAsia="zh-CN"/>
        </w:rPr>
        <w:t>我省</w:t>
      </w:r>
      <w:r>
        <w:rPr>
          <w:rFonts w:hint="default"/>
        </w:rPr>
        <w:t>国民经济健康、快速、持续发展提供强有力的支撑，将会产生巨大的经济效益。</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A5C661"/>
    <w:multiLevelType w:val="singleLevel"/>
    <w:tmpl w:val="F0A5C661"/>
    <w:lvl w:ilvl="0" w:tentative="0">
      <w:start w:val="1"/>
      <w:numFmt w:val="lowerLetter"/>
      <w:suff w:val="nothing"/>
      <w:lvlText w:val="%1）"/>
      <w:lvlJc w:val="left"/>
    </w:lvl>
  </w:abstractNum>
  <w:abstractNum w:abstractNumId="1">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pStyle w:val="18"/>
      <w:isLgl/>
      <w:suff w:val="nothing"/>
      <w:lvlText w:val="%2　"/>
      <w:lvlJc w:val="left"/>
      <w:pPr>
        <w:ind w:left="18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3E10CDFD"/>
    <w:multiLevelType w:val="singleLevel"/>
    <w:tmpl w:val="3E10CDFD"/>
    <w:lvl w:ilvl="0" w:tentative="0">
      <w:start w:val="1"/>
      <w:numFmt w:val="lowerLetter"/>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3ZTZmN2NiMmU5NWM0ZTJmY2NkNWE0ZmU0OGVlZjAifQ=="/>
  </w:docVars>
  <w:rsids>
    <w:rsidRoot w:val="5B0B2D51"/>
    <w:rsid w:val="010B405F"/>
    <w:rsid w:val="06647529"/>
    <w:rsid w:val="0A276775"/>
    <w:rsid w:val="0CCA3020"/>
    <w:rsid w:val="185D28EF"/>
    <w:rsid w:val="22FE1D51"/>
    <w:rsid w:val="25914EDA"/>
    <w:rsid w:val="28B9421C"/>
    <w:rsid w:val="2BF32EE8"/>
    <w:rsid w:val="308570DA"/>
    <w:rsid w:val="309F63EE"/>
    <w:rsid w:val="31A744CC"/>
    <w:rsid w:val="36FD658E"/>
    <w:rsid w:val="38310AD3"/>
    <w:rsid w:val="3CFF60A0"/>
    <w:rsid w:val="3E0E216E"/>
    <w:rsid w:val="3FD035F1"/>
    <w:rsid w:val="49F772E6"/>
    <w:rsid w:val="4B9A3F0B"/>
    <w:rsid w:val="51EC7986"/>
    <w:rsid w:val="52050460"/>
    <w:rsid w:val="52A01D72"/>
    <w:rsid w:val="59CE5D32"/>
    <w:rsid w:val="5B0B2D51"/>
    <w:rsid w:val="5B3A6B8F"/>
    <w:rsid w:val="61786158"/>
    <w:rsid w:val="63A6127B"/>
    <w:rsid w:val="63BE501E"/>
    <w:rsid w:val="6BDF5BA0"/>
    <w:rsid w:val="6E702367"/>
    <w:rsid w:val="7D5D0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60" w:lineRule="exact"/>
      <w:ind w:firstLine="88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0"/>
    <w:qFormat/>
    <w:uiPriority w:val="0"/>
    <w:pPr>
      <w:keepNext/>
      <w:keepLines/>
      <w:snapToGrid w:val="0"/>
      <w:spacing w:line="560" w:lineRule="exact"/>
      <w:ind w:firstLine="0" w:firstLineChars="0"/>
      <w:jc w:val="both"/>
      <w:outlineLvl w:val="0"/>
    </w:pPr>
    <w:rPr>
      <w:b/>
      <w:bCs/>
      <w:kern w:val="44"/>
      <w:szCs w:val="44"/>
    </w:rPr>
  </w:style>
  <w:style w:type="paragraph" w:styleId="3">
    <w:name w:val="heading 2"/>
    <w:basedOn w:val="1"/>
    <w:next w:val="1"/>
    <w:link w:val="11"/>
    <w:unhideWhenUsed/>
    <w:qFormat/>
    <w:uiPriority w:val="0"/>
    <w:pPr>
      <w:keepNext/>
      <w:keepLines/>
      <w:ind w:firstLine="0" w:firstLineChars="0"/>
      <w:outlineLvl w:val="1"/>
    </w:pPr>
    <w:rPr>
      <w:rFonts w:cstheme="majorBidi"/>
      <w:b/>
      <w:bCs/>
      <w:szCs w:val="32"/>
    </w:rPr>
  </w:style>
  <w:style w:type="paragraph" w:styleId="4">
    <w:name w:val="heading 3"/>
    <w:basedOn w:val="1"/>
    <w:next w:val="1"/>
    <w:link w:val="12"/>
    <w:unhideWhenUsed/>
    <w:qFormat/>
    <w:uiPriority w:val="0"/>
    <w:pPr>
      <w:keepNext/>
      <w:keepLines/>
      <w:ind w:firstLine="0" w:firstLineChars="0"/>
      <w:outlineLvl w:val="2"/>
    </w:pPr>
    <w:rPr>
      <w:rFonts w:ascii="Times New Roman" w:hAnsi="Times New Roman" w:eastAsia="宋体"/>
      <w:b/>
      <w:bCs/>
      <w:szCs w:val="32"/>
    </w:rPr>
  </w:style>
  <w:style w:type="paragraph" w:styleId="5">
    <w:name w:val="heading 4"/>
    <w:basedOn w:val="1"/>
    <w:next w:val="1"/>
    <w:link w:val="13"/>
    <w:semiHidden/>
    <w:unhideWhenUsed/>
    <w:qFormat/>
    <w:uiPriority w:val="0"/>
    <w:pPr>
      <w:keepNext/>
      <w:keepLines/>
      <w:ind w:firstLine="0" w:firstLineChars="0"/>
      <w:outlineLvl w:val="3"/>
    </w:pPr>
    <w:rPr>
      <w:rFonts w:eastAsia="楷体" w:cstheme="majorBidi"/>
      <w:b/>
      <w:bCs/>
      <w:szCs w:val="28"/>
    </w:rPr>
  </w:style>
  <w:style w:type="character" w:default="1" w:styleId="9">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39"/>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link w:val="2"/>
    <w:qFormat/>
    <w:uiPriority w:val="9"/>
    <w:rPr>
      <w:rFonts w:ascii="Times New Roman" w:hAnsi="Times New Roman" w:eastAsia="宋体"/>
      <w:b/>
      <w:bCs/>
      <w:kern w:val="44"/>
      <w:sz w:val="32"/>
      <w:szCs w:val="44"/>
    </w:rPr>
  </w:style>
  <w:style w:type="character" w:customStyle="1" w:styleId="11">
    <w:name w:val="标题 2 字符"/>
    <w:basedOn w:val="9"/>
    <w:link w:val="3"/>
    <w:qFormat/>
    <w:uiPriority w:val="9"/>
    <w:rPr>
      <w:rFonts w:ascii="Times New Roman" w:hAnsi="Times New Roman" w:eastAsia="宋体" w:cstheme="majorBidi"/>
      <w:b/>
      <w:bCs/>
      <w:sz w:val="32"/>
      <w:szCs w:val="32"/>
    </w:rPr>
  </w:style>
  <w:style w:type="character" w:customStyle="1" w:styleId="12">
    <w:name w:val="标题 3 字符"/>
    <w:basedOn w:val="9"/>
    <w:link w:val="4"/>
    <w:qFormat/>
    <w:uiPriority w:val="9"/>
    <w:rPr>
      <w:rFonts w:ascii="Times New Roman" w:hAnsi="Times New Roman" w:eastAsia="宋体"/>
      <w:b/>
      <w:bCs/>
      <w:sz w:val="32"/>
      <w:szCs w:val="32"/>
    </w:rPr>
  </w:style>
  <w:style w:type="character" w:customStyle="1" w:styleId="13">
    <w:name w:val="标题 4 字符"/>
    <w:basedOn w:val="9"/>
    <w:link w:val="5"/>
    <w:qFormat/>
    <w:uiPriority w:val="9"/>
    <w:rPr>
      <w:rFonts w:ascii="Times New Roman" w:hAnsi="Times New Roman" w:eastAsia="楷体" w:cstheme="majorBidi"/>
      <w:b/>
      <w:bCs/>
      <w:sz w:val="32"/>
      <w:szCs w:val="28"/>
    </w:rPr>
  </w:style>
  <w:style w:type="paragraph" w:customStyle="1" w:styleId="14">
    <w:name w:val="图标名"/>
    <w:basedOn w:val="1"/>
    <w:link w:val="15"/>
    <w:qFormat/>
    <w:uiPriority w:val="0"/>
    <w:pPr>
      <w:ind w:firstLine="0" w:firstLineChars="0"/>
      <w:jc w:val="center"/>
    </w:pPr>
    <w:rPr>
      <w:rFonts w:cs="Times New Roman"/>
      <w:b/>
      <w:sz w:val="24"/>
    </w:rPr>
  </w:style>
  <w:style w:type="character" w:customStyle="1" w:styleId="15">
    <w:name w:val="图标名 字符"/>
    <w:basedOn w:val="9"/>
    <w:link w:val="14"/>
    <w:qFormat/>
    <w:uiPriority w:val="0"/>
    <w:rPr>
      <w:rFonts w:ascii="Times New Roman" w:hAnsi="Times New Roman" w:eastAsia="仿宋_GB2312" w:cs="Times New Roman"/>
      <w:b/>
      <w:sz w:val="24"/>
    </w:rPr>
  </w:style>
  <w:style w:type="paragraph" w:customStyle="1" w:styleId="16">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fontstyle01"/>
    <w:basedOn w:val="9"/>
    <w:qFormat/>
    <w:uiPriority w:val="0"/>
    <w:rPr>
      <w:rFonts w:ascii="黑体" w:hAnsi="宋体" w:eastAsia="黑体" w:cs="黑体"/>
      <w:color w:val="000000"/>
      <w:sz w:val="44"/>
      <w:szCs w:val="44"/>
    </w:rPr>
  </w:style>
  <w:style w:type="paragraph" w:customStyle="1" w:styleId="18">
    <w:name w:val="章标题"/>
    <w:next w:val="19"/>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一级条标题"/>
    <w:next w:val="19"/>
    <w:qFormat/>
    <w:uiPriority w:val="0"/>
    <w:pPr>
      <w:outlineLvl w:val="2"/>
    </w:pPr>
    <w:rPr>
      <w:rFonts w:ascii="Times New Roman" w:hAnsi="Times New Roman" w:eastAsia="黑体" w:cs="Times New Roman"/>
      <w:sz w:val="21"/>
      <w:lang w:val="en-US" w:eastAsia="zh-CN" w:bidi="ar-SA"/>
    </w:rPr>
  </w:style>
  <w:style w:type="character" w:customStyle="1" w:styleId="21">
    <w:name w:val="font21"/>
    <w:basedOn w:val="9"/>
    <w:qFormat/>
    <w:uiPriority w:val="0"/>
    <w:rPr>
      <w:rFonts w:hint="eastAsia" w:ascii="宋体" w:hAnsi="宋体" w:eastAsia="宋体" w:cs="宋体"/>
      <w:color w:val="000000"/>
      <w:sz w:val="24"/>
      <w:szCs w:val="24"/>
      <w:u w:val="none"/>
    </w:rPr>
  </w:style>
  <w:style w:type="character" w:customStyle="1" w:styleId="22">
    <w:name w:val="font41"/>
    <w:basedOn w:val="9"/>
    <w:qFormat/>
    <w:uiPriority w:val="0"/>
    <w:rPr>
      <w:rFonts w:hint="eastAsia" w:ascii="宋体" w:hAnsi="宋体" w:eastAsia="宋体" w:cs="宋体"/>
      <w:color w:val="000000"/>
      <w:sz w:val="24"/>
      <w:szCs w:val="24"/>
      <w:u w:val="none"/>
      <w:vertAlign w:val="superscript"/>
    </w:rPr>
  </w:style>
  <w:style w:type="character" w:customStyle="1" w:styleId="23">
    <w:name w:val="font51"/>
    <w:basedOn w:val="9"/>
    <w:qFormat/>
    <w:uiPriority w:val="0"/>
    <w:rPr>
      <w:rFonts w:hint="eastAsia" w:ascii="宋体" w:hAnsi="宋体" w:eastAsia="宋体" w:cs="宋体"/>
      <w:color w:val="000000"/>
      <w:sz w:val="24"/>
      <w:szCs w:val="24"/>
      <w:u w:val="none"/>
    </w:rPr>
  </w:style>
  <w:style w:type="character" w:customStyle="1" w:styleId="24">
    <w:name w:val="font01"/>
    <w:basedOn w:val="9"/>
    <w:qFormat/>
    <w:uiPriority w:val="0"/>
    <w:rPr>
      <w:rFonts w:hint="eastAsia" w:ascii="宋体" w:hAnsi="宋体" w:eastAsia="宋体" w:cs="宋体"/>
      <w:color w:val="000000"/>
      <w:sz w:val="24"/>
      <w:szCs w:val="24"/>
      <w:u w:val="none"/>
      <w:vertAlign w:val="superscript"/>
    </w:rPr>
  </w:style>
  <w:style w:type="character" w:customStyle="1" w:styleId="25">
    <w:name w:val="font31"/>
    <w:basedOn w:val="9"/>
    <w:qFormat/>
    <w:uiPriority w:val="0"/>
    <w:rPr>
      <w:rFonts w:hint="eastAsia" w:ascii="宋体" w:hAnsi="宋体" w:eastAsia="宋体" w:cs="宋体"/>
      <w:color w:val="000000"/>
      <w:sz w:val="24"/>
      <w:szCs w:val="24"/>
      <w:u w:val="none"/>
    </w:rPr>
  </w:style>
  <w:style w:type="character" w:customStyle="1" w:styleId="26">
    <w:name w:val="font11"/>
    <w:basedOn w:val="9"/>
    <w:qFormat/>
    <w:uiPriority w:val="0"/>
    <w:rPr>
      <w:rFonts w:hint="eastAsia" w:ascii="宋体" w:hAnsi="宋体" w:eastAsia="宋体" w:cs="宋体"/>
      <w:color w:val="FF0000"/>
      <w:sz w:val="24"/>
      <w:szCs w:val="24"/>
      <w:u w:val="none"/>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5095</Words>
  <Characters>5437</Characters>
  <Lines>0</Lines>
  <Paragraphs>0</Paragraphs>
  <TotalTime>293</TotalTime>
  <ScaleCrop>false</ScaleCrop>
  <LinksUpToDate>false</LinksUpToDate>
  <CharactersWithSpaces>5456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2024-09-11T07:14:00Z</dcterms:created>
  <dc:creator>bingfeng</dc:creator>
  <cp:lastModifiedBy>bingfeng</cp:lastModifiedBy>
  <dcterms:modified xsi:type="dcterms:W3CDTF">2025-04-29T01:14:11Z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74AEFE7D63F04CE0892E3CF65AB04410_11</vt:lpwstr>
  </property>
  <property fmtid="{D5CDD505-2E9C-101B-9397-08002B2CF9AE}" pid="4" name="KSOTemplateDocerSaveRecord">
    <vt:lpwstr>eyJoZGlkIjoiNjc3ZTZmN2NiMmU5NWM0ZTJmY2NkNWE0ZmU0OGVlZjAiLCJ1c2VySWQiOiI0MjkwNzc1NTgifQ==</vt:lpwstr>
  </property>
</Properties>
</file>